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9393D" w14:textId="77777777" w:rsidR="00FC6FFA" w:rsidRDefault="00000000">
      <w:pPr>
        <w:spacing w:line="276" w:lineRule="auto"/>
        <w:jc w:val="cente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r>
      <w:r>
        <w:rPr>
          <w:rFonts w:ascii="Times New Roman" w:hAnsi="Times New Roman"/>
        </w:rPr>
        <w:t>Приложение №4</w:t>
      </w:r>
    </w:p>
    <w:p w14:paraId="73A5D876" w14:textId="77777777" w:rsidR="00FC6FFA" w:rsidRDefault="00000000">
      <w:pPr>
        <w:spacing w:line="276" w:lineRule="auto"/>
        <w:jc w:val="center"/>
        <w:rPr>
          <w:rFonts w:ascii="Times New Roman" w:hAnsi="Times New Roman"/>
        </w:rPr>
      </w:pPr>
      <w:r>
        <w:rPr>
          <w:rFonts w:ascii="Times New Roman" w:hAnsi="Times New Roman"/>
          <w:b/>
        </w:rPr>
        <w:t>МЕТОДИКА ЗА ОЦЕНКА НА ОФЕРТИТЕ</w:t>
      </w:r>
    </w:p>
    <w:p w14:paraId="3C6E1802" w14:textId="77777777" w:rsidR="00FC6FFA" w:rsidRDefault="00FC6FFA">
      <w:pPr>
        <w:pBdr>
          <w:top w:val="nil"/>
          <w:left w:val="nil"/>
          <w:bottom w:val="nil"/>
          <w:right w:val="nil"/>
          <w:between w:val="nil"/>
        </w:pBdr>
        <w:spacing w:line="276" w:lineRule="auto"/>
        <w:jc w:val="both"/>
        <w:rPr>
          <w:rFonts w:ascii="Times New Roman" w:hAnsi="Times New Roman"/>
          <w:color w:val="000000"/>
          <w:szCs w:val="24"/>
        </w:rPr>
      </w:pPr>
    </w:p>
    <w:p w14:paraId="669BE95A" w14:textId="77777777" w:rsidR="00FC6FFA" w:rsidRDefault="00000000">
      <w:pPr>
        <w:jc w:val="both"/>
        <w:rPr>
          <w:rFonts w:ascii="Times New Roman" w:hAnsi="Times New Roman"/>
          <w:b/>
        </w:rPr>
      </w:pPr>
      <w:r>
        <w:rPr>
          <w:rFonts w:ascii="Times New Roman" w:hAnsi="Times New Roman"/>
          <w:b/>
        </w:rPr>
        <w:t>В процедура по реда на чл. 7, ал. 1 от ПМС 118/20.05.2014 г. за определяне на изпълнител с предмет:</w:t>
      </w:r>
      <w:r>
        <w:t xml:space="preserve"> </w:t>
      </w:r>
      <w:r>
        <w:rPr>
          <w:rFonts w:ascii="Times New Roman" w:hAnsi="Times New Roman"/>
          <w:b/>
        </w:rPr>
        <w:t xml:space="preserve">Организиране и провеждане на обучения при изпълнение на проект "Детска пътека (подготовка и въвеждане на детска услуга "детска пътека" при случаи на деца – свидетели или в риск от насилие)“ по програма „Правосъдие“, финансирана по Малка </w:t>
      </w:r>
      <w:proofErr w:type="spellStart"/>
      <w:r>
        <w:rPr>
          <w:rFonts w:ascii="Times New Roman" w:hAnsi="Times New Roman"/>
          <w:b/>
        </w:rPr>
        <w:t>грантова</w:t>
      </w:r>
      <w:proofErr w:type="spellEnd"/>
      <w:r>
        <w:rPr>
          <w:rFonts w:ascii="Times New Roman" w:hAnsi="Times New Roman"/>
          <w:b/>
        </w:rPr>
        <w:t xml:space="preserve"> схема O3 на Норвежкия финансов механизъм 2014 – 2021</w:t>
      </w:r>
    </w:p>
    <w:p w14:paraId="06541FBB" w14:textId="77777777" w:rsidR="00FC6FFA" w:rsidRDefault="00FC6FFA">
      <w:pPr>
        <w:jc w:val="both"/>
        <w:rPr>
          <w:rFonts w:ascii="Times New Roman" w:hAnsi="Times New Roman"/>
          <w:b/>
        </w:rPr>
      </w:pPr>
    </w:p>
    <w:p w14:paraId="6451E9FA" w14:textId="77777777" w:rsidR="00FC6FFA" w:rsidRDefault="00000000">
      <w:pPr>
        <w:jc w:val="both"/>
        <w:rPr>
          <w:rFonts w:ascii="Times New Roman" w:hAnsi="Times New Roman"/>
        </w:rPr>
      </w:pPr>
      <w:r>
        <w:rPr>
          <w:rFonts w:ascii="Times New Roman" w:hAnsi="Times New Roman"/>
          <w:b/>
        </w:rPr>
        <w:t xml:space="preserve">Критерий за възлагане: </w:t>
      </w:r>
      <w:r>
        <w:rPr>
          <w:rFonts w:ascii="Times New Roman" w:hAnsi="Times New Roman"/>
        </w:rPr>
        <w:t>Съгласно чл. 14, ал. 1, т. 2 на ПМС №118/2014 г. определянето на изпълнител при провеждане на процедурата се извършва въз основа на икономически най-изгодната оферта. Икономически най-изгодната оферта се определя въз основа на критерия за възлагане оптимално съотношение качество/цена съгласно чл. 14, ал. 7 и ал. 8 във връзка с ал. 4, т. 3 от ПМС №118/2014 г. като се оценява организация и професионална компетентност на персонала, на който е възложено изпълнението на поръчката, тъй като качеството на ангажирания с изпълнението на поръчката персонал може да окаже съществено влияние</w:t>
      </w:r>
    </w:p>
    <w:p w14:paraId="3589F9A2" w14:textId="77777777" w:rsidR="00FC6FFA"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olor w:val="000000"/>
          <w:szCs w:val="24"/>
        </w:rPr>
      </w:pPr>
      <w:r>
        <w:rPr>
          <w:rFonts w:ascii="Times New Roman" w:hAnsi="Times New Roman"/>
          <w:color w:val="000000"/>
          <w:szCs w:val="24"/>
        </w:rPr>
        <w:t>върху изпълнението на поръчката.</w:t>
      </w:r>
    </w:p>
    <w:p w14:paraId="093A7F37" w14:textId="77777777" w:rsidR="00FC6FFA"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i/>
          <w:color w:val="000000"/>
          <w:szCs w:val="24"/>
        </w:rPr>
      </w:pPr>
      <w:r>
        <w:rPr>
          <w:rFonts w:ascii="Times New Roman" w:hAnsi="Times New Roman"/>
          <w:i/>
          <w:color w:val="000000"/>
          <w:szCs w:val="24"/>
        </w:rPr>
        <w:t>Начинът за определяне на оценката по всеки показател:</w:t>
      </w:r>
    </w:p>
    <w:p w14:paraId="242F1FC6" w14:textId="77777777" w:rsidR="00FC6FFA"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i/>
          <w:color w:val="000000"/>
          <w:szCs w:val="24"/>
        </w:rPr>
      </w:pPr>
      <w:r>
        <w:rPr>
          <w:rFonts w:ascii="Times New Roman" w:hAnsi="Times New Roman"/>
          <w:i/>
          <w:color w:val="000000"/>
          <w:szCs w:val="24"/>
        </w:rPr>
        <w:t>1. дава възможност да се оцени нивото на изпълнение, предложено във всяка оферта, в съответствие с предмета на поръчката и техническите спецификации;</w:t>
      </w:r>
    </w:p>
    <w:p w14:paraId="3EE2AAA6" w14:textId="77777777" w:rsidR="00FC6FFA"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i/>
          <w:color w:val="000000"/>
          <w:szCs w:val="24"/>
        </w:rPr>
      </w:pPr>
      <w:r>
        <w:rPr>
          <w:rFonts w:ascii="Times New Roman" w:hAnsi="Times New Roman"/>
          <w:i/>
          <w:color w:val="000000"/>
          <w:szCs w:val="24"/>
        </w:rPr>
        <w:t>2. дава възможност да бъдат сравнени и оценени обективно подадените оферти;</w:t>
      </w:r>
    </w:p>
    <w:p w14:paraId="18B9733B" w14:textId="77777777" w:rsidR="00FC6FFA"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i/>
          <w:color w:val="000000"/>
          <w:szCs w:val="24"/>
        </w:rPr>
      </w:pPr>
      <w:r>
        <w:rPr>
          <w:rFonts w:ascii="Times New Roman" w:hAnsi="Times New Roman"/>
          <w:i/>
          <w:color w:val="000000"/>
          <w:szCs w:val="24"/>
        </w:rPr>
        <w:t xml:space="preserve">3. осигурява на кандидатите за изпълнител достатъчно информация за правилата, които ще се прилагат при определяне на оценката по всеки показател, като за количествено </w:t>
      </w:r>
      <w:proofErr w:type="spellStart"/>
      <w:r>
        <w:rPr>
          <w:rFonts w:ascii="Times New Roman" w:hAnsi="Times New Roman"/>
          <w:i/>
          <w:color w:val="000000"/>
          <w:szCs w:val="24"/>
        </w:rPr>
        <w:t>определимите</w:t>
      </w:r>
      <w:proofErr w:type="spellEnd"/>
      <w:r>
        <w:rPr>
          <w:rFonts w:ascii="Times New Roman" w:hAnsi="Times New Roman"/>
          <w:i/>
          <w:color w:val="000000"/>
          <w:szCs w:val="24"/>
        </w:rPr>
        <w:t xml:space="preserve"> показатели са определени стойностите в цифри и е посочен начинът за тяхното изчисляване.</w:t>
      </w:r>
    </w:p>
    <w:p w14:paraId="1D865881" w14:textId="77777777" w:rsidR="00FC6FFA"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i/>
          <w:color w:val="000000"/>
          <w:szCs w:val="24"/>
        </w:rPr>
      </w:pPr>
      <w:r>
        <w:rPr>
          <w:rFonts w:ascii="Times New Roman" w:hAnsi="Times New Roman"/>
          <w:i/>
          <w:color w:val="000000"/>
          <w:szCs w:val="24"/>
        </w:rPr>
        <w:t>Методиката за определяне на комплексната оценка съдържа точни указания за определяне на оценката по всеки показател, включително за относителната тежест, която бенефициентът дава на всеки от показателите за определяне на икономически най-изгодната оферта.</w:t>
      </w:r>
    </w:p>
    <w:p w14:paraId="45FE1DF0" w14:textId="77777777" w:rsidR="00FC6FFA"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b/>
          <w:i/>
          <w:color w:val="000000"/>
          <w:szCs w:val="24"/>
        </w:rPr>
      </w:pPr>
      <w:r>
        <w:rPr>
          <w:rFonts w:ascii="Times New Roman" w:hAnsi="Times New Roman"/>
          <w:b/>
          <w:i/>
          <w:color w:val="000000"/>
          <w:szCs w:val="24"/>
        </w:rPr>
        <w:t>На оценка подлежат оферти, които отговарят на минималните изисквания, поставени от бенефициента към съдържанието на отделните части на предложението за изпълнение на поръчката, на Техническата спецификация и са съобразени с предмета на поръчката!</w:t>
      </w:r>
    </w:p>
    <w:p w14:paraId="40CF4832" w14:textId="77777777" w:rsidR="00FC6FFA" w:rsidRDefault="00FC6FF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olor w:val="000000"/>
          <w:szCs w:val="24"/>
        </w:rPr>
      </w:pPr>
    </w:p>
    <w:p w14:paraId="6B116EFE" w14:textId="77777777" w:rsidR="00FC6FFA" w:rsidRDefault="00FC6FFA">
      <w:pPr>
        <w:pBdr>
          <w:top w:val="nil"/>
          <w:left w:val="nil"/>
          <w:bottom w:val="nil"/>
          <w:right w:val="nil"/>
          <w:between w:val="nil"/>
        </w:pBdr>
        <w:spacing w:line="276" w:lineRule="auto"/>
        <w:jc w:val="both"/>
        <w:rPr>
          <w:rFonts w:ascii="Times New Roman" w:hAnsi="Times New Roman"/>
          <w:color w:val="000000"/>
          <w:szCs w:val="24"/>
        </w:rPr>
      </w:pPr>
    </w:p>
    <w:p w14:paraId="16DBF565" w14:textId="77777777" w:rsidR="00FC6FFA" w:rsidRDefault="00000000">
      <w:pPr>
        <w:spacing w:line="276" w:lineRule="auto"/>
        <w:jc w:val="both"/>
        <w:rPr>
          <w:rFonts w:ascii="Times New Roman" w:hAnsi="Times New Roman"/>
          <w:b/>
        </w:rPr>
      </w:pPr>
      <w:r>
        <w:rPr>
          <w:rFonts w:ascii="Times New Roman" w:hAnsi="Times New Roman"/>
          <w:b/>
        </w:rPr>
        <w:t>3. Показателите за оценяване и относителната им тежест са следните:</w:t>
      </w:r>
    </w:p>
    <w:p w14:paraId="0F61E58F" w14:textId="77777777" w:rsidR="00FC6FFA" w:rsidRDefault="00FC6FFA">
      <w:pPr>
        <w:spacing w:line="276" w:lineRule="auto"/>
        <w:ind w:firstLine="567"/>
        <w:jc w:val="both"/>
        <w:rPr>
          <w:rFonts w:ascii="Times New Roman" w:hAnsi="Times New Roman"/>
        </w:rPr>
      </w:pPr>
    </w:p>
    <w:p w14:paraId="39B04577" w14:textId="77777777" w:rsidR="00FC6FFA" w:rsidRDefault="00000000">
      <w:pPr>
        <w:keepNext/>
        <w:numPr>
          <w:ilvl w:val="1"/>
          <w:numId w:val="2"/>
        </w:numPr>
        <w:pBdr>
          <w:top w:val="nil"/>
          <w:left w:val="nil"/>
          <w:bottom w:val="nil"/>
          <w:right w:val="nil"/>
          <w:between w:val="nil"/>
        </w:pBdr>
        <w:tabs>
          <w:tab w:val="left" w:pos="0"/>
          <w:tab w:val="left" w:pos="709"/>
          <w:tab w:val="left" w:pos="993"/>
        </w:tabs>
        <w:spacing w:line="276" w:lineRule="auto"/>
        <w:jc w:val="both"/>
        <w:rPr>
          <w:rFonts w:ascii="Times New Roman" w:hAnsi="Times New Roman"/>
          <w:b/>
          <w:color w:val="000000"/>
          <w:szCs w:val="24"/>
        </w:rPr>
      </w:pPr>
      <w:bookmarkStart w:id="0" w:name="_heading=h.gjdgxs" w:colFirst="0" w:colLast="0"/>
      <w:bookmarkEnd w:id="0"/>
      <w:r>
        <w:rPr>
          <w:rFonts w:ascii="Times New Roman" w:hAnsi="Times New Roman"/>
          <w:b/>
          <w:color w:val="000000"/>
          <w:szCs w:val="24"/>
        </w:rPr>
        <w:t xml:space="preserve"> Методика за определяне на комплексна оценка</w:t>
      </w:r>
    </w:p>
    <w:p w14:paraId="3A65A7A5" w14:textId="77777777" w:rsidR="00FC6FFA" w:rsidRDefault="00FC6FFA">
      <w:pPr>
        <w:tabs>
          <w:tab w:val="left" w:pos="0"/>
          <w:tab w:val="left" w:pos="142"/>
          <w:tab w:val="left" w:pos="1134"/>
        </w:tabs>
        <w:spacing w:line="276" w:lineRule="auto"/>
        <w:jc w:val="both"/>
        <w:rPr>
          <w:rFonts w:ascii="Times New Roman" w:hAnsi="Times New Roman"/>
        </w:rPr>
      </w:pPr>
    </w:p>
    <w:p w14:paraId="68DD2E5E" w14:textId="77777777" w:rsidR="00FC6FFA" w:rsidRDefault="00000000">
      <w:pPr>
        <w:numPr>
          <w:ilvl w:val="2"/>
          <w:numId w:val="2"/>
        </w:numPr>
        <w:pBdr>
          <w:top w:val="nil"/>
          <w:left w:val="nil"/>
          <w:bottom w:val="nil"/>
          <w:right w:val="nil"/>
          <w:between w:val="nil"/>
        </w:pBdr>
        <w:tabs>
          <w:tab w:val="left" w:pos="0"/>
          <w:tab w:val="left" w:pos="142"/>
          <w:tab w:val="left" w:pos="1134"/>
        </w:tabs>
        <w:spacing w:line="276" w:lineRule="auto"/>
        <w:jc w:val="both"/>
        <w:rPr>
          <w:rFonts w:ascii="Times New Roman" w:hAnsi="Times New Roman"/>
          <w:b/>
          <w:color w:val="000000"/>
          <w:szCs w:val="24"/>
        </w:rPr>
      </w:pPr>
      <w:r>
        <w:rPr>
          <w:rFonts w:ascii="Times New Roman" w:hAnsi="Times New Roman"/>
          <w:color w:val="000000"/>
          <w:szCs w:val="24"/>
        </w:rPr>
        <w:t>Настоящата методика съдържа указания за определяне на комплексната оценка на всяка оферта, в т.ч. показателите, броя точки за всеки от тях при изчисляване на комплексната оценка, както и указания за определяне на оценката по всеки показател.</w:t>
      </w:r>
    </w:p>
    <w:p w14:paraId="0848CCA7" w14:textId="77777777" w:rsidR="00FC6FFA" w:rsidRDefault="00000000">
      <w:pPr>
        <w:numPr>
          <w:ilvl w:val="2"/>
          <w:numId w:val="2"/>
        </w:numPr>
        <w:pBdr>
          <w:top w:val="nil"/>
          <w:left w:val="nil"/>
          <w:bottom w:val="nil"/>
          <w:right w:val="nil"/>
          <w:between w:val="nil"/>
        </w:pBdr>
        <w:tabs>
          <w:tab w:val="left" w:pos="0"/>
          <w:tab w:val="left" w:pos="142"/>
          <w:tab w:val="left" w:pos="1134"/>
        </w:tabs>
        <w:spacing w:line="276" w:lineRule="auto"/>
        <w:jc w:val="both"/>
        <w:rPr>
          <w:rFonts w:ascii="Times New Roman" w:hAnsi="Times New Roman"/>
          <w:b/>
          <w:color w:val="000000"/>
          <w:szCs w:val="24"/>
        </w:rPr>
      </w:pPr>
      <w:r>
        <w:rPr>
          <w:rFonts w:ascii="Times New Roman" w:hAnsi="Times New Roman"/>
          <w:color w:val="000000"/>
          <w:szCs w:val="24"/>
        </w:rPr>
        <w:lastRenderedPageBreak/>
        <w:t xml:space="preserve">Комисията прилага методиката по отношение на офертите на кандидатите, които не са отстранени от участие в процедурата и които отговарят на обявените от възложителя изисквания за лично състояние и критерии за подбор. </w:t>
      </w:r>
    </w:p>
    <w:p w14:paraId="6BDFE9D9" w14:textId="77777777" w:rsidR="00FC6FFA" w:rsidRDefault="00000000">
      <w:pPr>
        <w:numPr>
          <w:ilvl w:val="2"/>
          <w:numId w:val="2"/>
        </w:numPr>
        <w:pBdr>
          <w:top w:val="nil"/>
          <w:left w:val="nil"/>
          <w:bottom w:val="nil"/>
          <w:right w:val="nil"/>
          <w:between w:val="nil"/>
        </w:pBdr>
        <w:tabs>
          <w:tab w:val="left" w:pos="0"/>
          <w:tab w:val="left" w:pos="142"/>
          <w:tab w:val="left" w:pos="1134"/>
        </w:tabs>
        <w:spacing w:line="276" w:lineRule="auto"/>
        <w:jc w:val="both"/>
        <w:rPr>
          <w:rFonts w:ascii="Times New Roman" w:hAnsi="Times New Roman"/>
          <w:b/>
          <w:color w:val="000000"/>
          <w:szCs w:val="24"/>
        </w:rPr>
      </w:pPr>
      <w:r>
        <w:rPr>
          <w:rFonts w:ascii="Times New Roman" w:hAnsi="Times New Roman"/>
          <w:color w:val="000000"/>
          <w:szCs w:val="24"/>
        </w:rPr>
        <w:t>В случай, че кандидат представи техническо предложение, което не отговаря на изискванията на възложителя, посочени в Техническата спецификация, на действащото законодателство, на съществуващите стандарти или технически изисквания – ако има такива, се отстранява от участие и офертата му не се допуска до оценка и класиране.</w:t>
      </w:r>
    </w:p>
    <w:p w14:paraId="081B191B" w14:textId="77777777" w:rsidR="00FC6FFA" w:rsidRDefault="00000000">
      <w:pPr>
        <w:numPr>
          <w:ilvl w:val="2"/>
          <w:numId w:val="2"/>
        </w:numPr>
        <w:pBdr>
          <w:top w:val="nil"/>
          <w:left w:val="nil"/>
          <w:bottom w:val="nil"/>
          <w:right w:val="nil"/>
          <w:between w:val="nil"/>
        </w:pBdr>
        <w:tabs>
          <w:tab w:val="left" w:pos="0"/>
          <w:tab w:val="left" w:pos="142"/>
          <w:tab w:val="left" w:pos="1134"/>
        </w:tabs>
        <w:spacing w:line="276" w:lineRule="auto"/>
        <w:jc w:val="both"/>
        <w:rPr>
          <w:rFonts w:ascii="Times New Roman" w:hAnsi="Times New Roman"/>
          <w:b/>
          <w:color w:val="000000"/>
          <w:szCs w:val="24"/>
        </w:rPr>
      </w:pPr>
      <w:r>
        <w:rPr>
          <w:rFonts w:ascii="Times New Roman" w:hAnsi="Times New Roman"/>
          <w:color w:val="000000"/>
          <w:szCs w:val="24"/>
        </w:rPr>
        <w:t>Изборът на критерий за оценка на офертите е съобразен с комплексния характер на предмета на настоящата процедура. При формулирането на критерия и показателите за оценка, Възложителят е изхождал от разбирането, че при процедури за услуги, компетентността, опитът, ефективността и организацията на работата, като цяло, е неразривно свързан с качеството на изпълнението на услугата. В такива случаи е налице изключително тясна зависимост между организацията, компетентността, опитът и ефективността като цяло на работния екип и икономическата стойност на офертите. При това положение, при оценяването на офертите и определянето на офертата с най-добро съотношение между качество и цена е удачно да се вземат предвид именно организацията на експертния екип.</w:t>
      </w:r>
    </w:p>
    <w:p w14:paraId="129ECA3F" w14:textId="77777777" w:rsidR="00FC6FFA" w:rsidRDefault="00000000">
      <w:pPr>
        <w:numPr>
          <w:ilvl w:val="2"/>
          <w:numId w:val="2"/>
        </w:numPr>
        <w:pBdr>
          <w:top w:val="nil"/>
          <w:left w:val="nil"/>
          <w:bottom w:val="nil"/>
          <w:right w:val="nil"/>
          <w:between w:val="nil"/>
        </w:pBdr>
        <w:tabs>
          <w:tab w:val="left" w:pos="0"/>
          <w:tab w:val="left" w:pos="142"/>
          <w:tab w:val="left" w:pos="1134"/>
        </w:tabs>
        <w:spacing w:line="276" w:lineRule="auto"/>
        <w:jc w:val="both"/>
        <w:rPr>
          <w:rFonts w:ascii="Times New Roman" w:hAnsi="Times New Roman"/>
          <w:b/>
          <w:color w:val="000000"/>
          <w:szCs w:val="24"/>
        </w:rPr>
      </w:pPr>
      <w:r>
        <w:rPr>
          <w:rFonts w:ascii="Times New Roman" w:hAnsi="Times New Roman"/>
          <w:color w:val="000000"/>
          <w:szCs w:val="24"/>
        </w:rPr>
        <w:t>Крайното класиране на допуснатите до оценка оферти се извършва в низходящ ред на база получената за всяка оферта комплексна оценка (КО). Офертата, получила най-голям брой точки, се класира на първо място.</w:t>
      </w:r>
    </w:p>
    <w:p w14:paraId="70C19785" w14:textId="77777777" w:rsidR="00FC6FFA" w:rsidRDefault="00000000">
      <w:pPr>
        <w:numPr>
          <w:ilvl w:val="2"/>
          <w:numId w:val="2"/>
        </w:numPr>
        <w:pBdr>
          <w:top w:val="nil"/>
          <w:left w:val="nil"/>
          <w:bottom w:val="nil"/>
          <w:right w:val="nil"/>
          <w:between w:val="nil"/>
        </w:pBdr>
        <w:tabs>
          <w:tab w:val="left" w:pos="0"/>
          <w:tab w:val="left" w:pos="142"/>
          <w:tab w:val="left" w:pos="1134"/>
        </w:tabs>
        <w:spacing w:line="276" w:lineRule="auto"/>
        <w:jc w:val="both"/>
        <w:rPr>
          <w:rFonts w:ascii="Times New Roman" w:hAnsi="Times New Roman"/>
          <w:b/>
          <w:color w:val="000000"/>
          <w:szCs w:val="24"/>
        </w:rPr>
      </w:pPr>
      <w:r>
        <w:rPr>
          <w:rFonts w:ascii="Times New Roman" w:hAnsi="Times New Roman"/>
          <w:color w:val="000000"/>
          <w:szCs w:val="24"/>
        </w:rPr>
        <w:t>Когато комплексните оценки на две или повече оферти са равни, с предимство се класира офертата с по-ниска предложена цена (П2).</w:t>
      </w:r>
    </w:p>
    <w:p w14:paraId="4DDEB1D7" w14:textId="77777777" w:rsidR="00FC6FFA" w:rsidRDefault="00000000">
      <w:pPr>
        <w:numPr>
          <w:ilvl w:val="2"/>
          <w:numId w:val="2"/>
        </w:numPr>
        <w:pBdr>
          <w:top w:val="nil"/>
          <w:left w:val="nil"/>
          <w:bottom w:val="nil"/>
          <w:right w:val="nil"/>
          <w:between w:val="nil"/>
        </w:pBdr>
        <w:tabs>
          <w:tab w:val="left" w:pos="0"/>
          <w:tab w:val="left" w:pos="142"/>
          <w:tab w:val="left" w:pos="1134"/>
        </w:tabs>
        <w:spacing w:line="276" w:lineRule="auto"/>
        <w:jc w:val="both"/>
        <w:rPr>
          <w:rFonts w:ascii="Times New Roman" w:hAnsi="Times New Roman"/>
          <w:b/>
          <w:color w:val="000000"/>
          <w:szCs w:val="24"/>
        </w:rPr>
      </w:pPr>
      <w:r>
        <w:rPr>
          <w:rFonts w:ascii="Times New Roman" w:hAnsi="Times New Roman"/>
          <w:color w:val="000000"/>
          <w:szCs w:val="24"/>
        </w:rPr>
        <w:t>Ако кандидатите не могат да бъдат класирани в съответствие с правилата по т. 3.1.5. и т. 3.1.6, комисията провежда публично жребий за определяне на изпълнител между класираните на първо място оферти.</w:t>
      </w:r>
    </w:p>
    <w:p w14:paraId="73596DED" w14:textId="77777777" w:rsidR="00FC6FFA" w:rsidRDefault="00000000">
      <w:pPr>
        <w:numPr>
          <w:ilvl w:val="2"/>
          <w:numId w:val="2"/>
        </w:numPr>
        <w:pBdr>
          <w:top w:val="nil"/>
          <w:left w:val="nil"/>
          <w:bottom w:val="nil"/>
          <w:right w:val="nil"/>
          <w:between w:val="nil"/>
        </w:pBdr>
        <w:tabs>
          <w:tab w:val="left" w:pos="0"/>
          <w:tab w:val="left" w:pos="142"/>
          <w:tab w:val="left" w:pos="1134"/>
        </w:tabs>
        <w:spacing w:line="276" w:lineRule="auto"/>
        <w:jc w:val="both"/>
        <w:rPr>
          <w:rFonts w:ascii="Times New Roman" w:hAnsi="Times New Roman"/>
          <w:b/>
          <w:color w:val="000000"/>
          <w:szCs w:val="24"/>
        </w:rPr>
      </w:pPr>
      <w:r>
        <w:rPr>
          <w:rFonts w:ascii="Times New Roman" w:hAnsi="Times New Roman"/>
          <w:color w:val="000000"/>
          <w:szCs w:val="24"/>
        </w:rPr>
        <w:t>В случай че при прилагането на посочените  формули, се получи дробно число, резултатите се закръгляват до втория знак след десетичната запетая.</w:t>
      </w:r>
    </w:p>
    <w:p w14:paraId="48DB21B8" w14:textId="77777777" w:rsidR="00FC6FFA" w:rsidRDefault="00FC6FFA">
      <w:pPr>
        <w:tabs>
          <w:tab w:val="left" w:pos="0"/>
          <w:tab w:val="left" w:pos="142"/>
          <w:tab w:val="left" w:pos="1134"/>
        </w:tabs>
        <w:spacing w:line="276" w:lineRule="auto"/>
        <w:ind w:left="567"/>
        <w:jc w:val="both"/>
        <w:rPr>
          <w:rFonts w:ascii="Times New Roman" w:hAnsi="Times New Roman"/>
        </w:rPr>
      </w:pPr>
    </w:p>
    <w:p w14:paraId="19A97D2B" w14:textId="77777777" w:rsidR="00FC6FFA" w:rsidRDefault="00000000">
      <w:pPr>
        <w:keepNext/>
        <w:numPr>
          <w:ilvl w:val="1"/>
          <w:numId w:val="2"/>
        </w:numPr>
        <w:pBdr>
          <w:top w:val="nil"/>
          <w:left w:val="nil"/>
          <w:bottom w:val="nil"/>
          <w:right w:val="nil"/>
          <w:between w:val="nil"/>
        </w:pBdr>
        <w:tabs>
          <w:tab w:val="left" w:pos="0"/>
          <w:tab w:val="left" w:pos="709"/>
          <w:tab w:val="left" w:pos="993"/>
        </w:tabs>
        <w:spacing w:line="276" w:lineRule="auto"/>
        <w:jc w:val="both"/>
        <w:rPr>
          <w:rFonts w:ascii="Times New Roman" w:hAnsi="Times New Roman"/>
          <w:b/>
          <w:color w:val="000000"/>
          <w:szCs w:val="24"/>
        </w:rPr>
      </w:pPr>
      <w:bookmarkStart w:id="1" w:name="_heading=h.30j0zll" w:colFirst="0" w:colLast="0"/>
      <w:bookmarkEnd w:id="1"/>
      <w:r>
        <w:rPr>
          <w:rFonts w:ascii="Times New Roman" w:hAnsi="Times New Roman"/>
          <w:b/>
          <w:color w:val="000000"/>
          <w:szCs w:val="24"/>
        </w:rPr>
        <w:t xml:space="preserve"> Комплексна оценка</w:t>
      </w:r>
    </w:p>
    <w:p w14:paraId="16338EA0" w14:textId="77777777" w:rsidR="00FC6FFA" w:rsidRDefault="00FC6FFA">
      <w:pPr>
        <w:keepNext/>
        <w:pBdr>
          <w:top w:val="nil"/>
          <w:left w:val="nil"/>
          <w:bottom w:val="nil"/>
          <w:right w:val="nil"/>
          <w:between w:val="nil"/>
        </w:pBdr>
        <w:tabs>
          <w:tab w:val="left" w:pos="0"/>
          <w:tab w:val="left" w:pos="709"/>
          <w:tab w:val="left" w:pos="993"/>
        </w:tabs>
        <w:spacing w:line="276" w:lineRule="auto"/>
        <w:ind w:left="360"/>
        <w:jc w:val="both"/>
        <w:rPr>
          <w:rFonts w:ascii="Times New Roman" w:hAnsi="Times New Roman"/>
          <w:b/>
          <w:color w:val="000000"/>
          <w:szCs w:val="24"/>
        </w:rPr>
      </w:pPr>
    </w:p>
    <w:p w14:paraId="52F345D9" w14:textId="77777777" w:rsidR="00FC6FFA" w:rsidRDefault="00000000">
      <w:pPr>
        <w:tabs>
          <w:tab w:val="left" w:pos="0"/>
          <w:tab w:val="left" w:pos="1134"/>
        </w:tabs>
        <w:spacing w:line="276" w:lineRule="auto"/>
        <w:jc w:val="both"/>
        <w:rPr>
          <w:rFonts w:ascii="Times New Roman" w:hAnsi="Times New Roman"/>
        </w:rPr>
      </w:pPr>
      <w:r>
        <w:rPr>
          <w:rFonts w:ascii="Times New Roman" w:hAnsi="Times New Roman"/>
        </w:rPr>
        <w:t>Комплексната оценка (КО) се определя на база следните показатели:</w:t>
      </w:r>
    </w:p>
    <w:p w14:paraId="59CB78BC" w14:textId="77777777" w:rsidR="00FC6FFA" w:rsidRDefault="00FC6FFA">
      <w:pPr>
        <w:spacing w:line="276" w:lineRule="auto"/>
        <w:rPr>
          <w:rFonts w:ascii="Times New Roman" w:hAnsi="Times New Roman"/>
        </w:rPr>
      </w:pPr>
    </w:p>
    <w:tbl>
      <w:tblPr>
        <w:tblStyle w:val="a0"/>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1985"/>
        <w:gridCol w:w="1923"/>
      </w:tblGrid>
      <w:tr w:rsidR="00FC6FFA" w14:paraId="0C7F1AB4" w14:textId="77777777">
        <w:trPr>
          <w:cantSplit/>
          <w:trHeight w:val="750"/>
        </w:trPr>
        <w:tc>
          <w:tcPr>
            <w:tcW w:w="592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DE3BB81" w14:textId="77777777" w:rsidR="00FC6FFA" w:rsidRDefault="00000000">
            <w:pPr>
              <w:tabs>
                <w:tab w:val="left" w:pos="0"/>
              </w:tabs>
              <w:spacing w:line="276" w:lineRule="auto"/>
              <w:jc w:val="center"/>
              <w:rPr>
                <w:rFonts w:ascii="Times" w:eastAsia="Times" w:hAnsi="Times" w:cs="Times"/>
                <w:b/>
              </w:rPr>
            </w:pPr>
            <w:r>
              <w:rPr>
                <w:rFonts w:ascii="Times" w:eastAsia="Times" w:hAnsi="Times" w:cs="Times"/>
                <w:b/>
              </w:rPr>
              <w:t xml:space="preserve">Показател </w:t>
            </w:r>
          </w:p>
          <w:p w14:paraId="549D43B1" w14:textId="77777777" w:rsidR="00FC6FFA" w:rsidRDefault="00000000">
            <w:pPr>
              <w:tabs>
                <w:tab w:val="left" w:pos="0"/>
              </w:tabs>
              <w:spacing w:line="276" w:lineRule="auto"/>
              <w:jc w:val="center"/>
              <w:rPr>
                <w:rFonts w:ascii="Times New Roman" w:hAnsi="Times New Roman"/>
                <w:b/>
              </w:rPr>
            </w:pPr>
            <w:r>
              <w:rPr>
                <w:rFonts w:ascii="Times" w:eastAsia="Times" w:hAnsi="Times" w:cs="Times"/>
              </w:rPr>
              <w:t>(наименование и означение)</w:t>
            </w:r>
          </w:p>
        </w:tc>
        <w:tc>
          <w:tcPr>
            <w:tcW w:w="198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03AB2A5" w14:textId="77777777" w:rsidR="00FC6FFA" w:rsidRDefault="00000000">
            <w:pPr>
              <w:tabs>
                <w:tab w:val="left" w:pos="0"/>
              </w:tabs>
              <w:spacing w:line="276" w:lineRule="auto"/>
              <w:jc w:val="center"/>
              <w:rPr>
                <w:rFonts w:ascii="Times New Roman" w:hAnsi="Times New Roman"/>
                <w:b/>
              </w:rPr>
            </w:pPr>
            <w:r>
              <w:rPr>
                <w:rFonts w:ascii="Times" w:eastAsia="Times" w:hAnsi="Times" w:cs="Times"/>
                <w:b/>
              </w:rPr>
              <w:t>Максимален брой точки по показателя</w:t>
            </w:r>
          </w:p>
        </w:tc>
        <w:tc>
          <w:tcPr>
            <w:tcW w:w="1923" w:type="dxa"/>
            <w:tcBorders>
              <w:top w:val="single" w:sz="4" w:space="0" w:color="000000"/>
              <w:left w:val="single" w:sz="4" w:space="0" w:color="000000"/>
              <w:bottom w:val="single" w:sz="4" w:space="0" w:color="000000"/>
              <w:right w:val="single" w:sz="4" w:space="0" w:color="000000"/>
            </w:tcBorders>
            <w:shd w:val="clear" w:color="auto" w:fill="DBE5F1"/>
          </w:tcPr>
          <w:p w14:paraId="56E43982" w14:textId="77777777" w:rsidR="00FC6FFA" w:rsidRDefault="00000000">
            <w:pPr>
              <w:tabs>
                <w:tab w:val="left" w:pos="0"/>
              </w:tabs>
              <w:spacing w:line="276" w:lineRule="auto"/>
              <w:jc w:val="center"/>
              <w:rPr>
                <w:rFonts w:ascii="Times New Roman" w:hAnsi="Times New Roman"/>
                <w:b/>
              </w:rPr>
            </w:pPr>
            <w:r>
              <w:rPr>
                <w:rFonts w:ascii="Times" w:eastAsia="Times" w:hAnsi="Times" w:cs="Times"/>
                <w:b/>
              </w:rPr>
              <w:t>Относителна тежест в КО</w:t>
            </w:r>
          </w:p>
        </w:tc>
      </w:tr>
      <w:tr w:rsidR="00FC6FFA" w14:paraId="13333880" w14:textId="77777777">
        <w:tc>
          <w:tcPr>
            <w:tcW w:w="5920" w:type="dxa"/>
            <w:tcBorders>
              <w:top w:val="single" w:sz="4" w:space="0" w:color="000000"/>
              <w:left w:val="single" w:sz="4" w:space="0" w:color="000000"/>
              <w:bottom w:val="single" w:sz="4" w:space="0" w:color="000000"/>
              <w:right w:val="single" w:sz="4" w:space="0" w:color="000000"/>
            </w:tcBorders>
            <w:vAlign w:val="center"/>
          </w:tcPr>
          <w:p w14:paraId="03302324" w14:textId="77777777" w:rsidR="00FC6FFA" w:rsidRDefault="00000000">
            <w:pPr>
              <w:tabs>
                <w:tab w:val="left" w:pos="0"/>
              </w:tabs>
              <w:spacing w:line="276" w:lineRule="auto"/>
              <w:jc w:val="both"/>
              <w:rPr>
                <w:rFonts w:ascii="Times New Roman" w:hAnsi="Times New Roman"/>
              </w:rPr>
            </w:pPr>
            <w:r>
              <w:rPr>
                <w:rFonts w:ascii="Times" w:eastAsia="Times" w:hAnsi="Times" w:cs="Times"/>
              </w:rPr>
              <w:t>1. Организация за изпълнението на поръчката (П1)</w:t>
            </w:r>
          </w:p>
        </w:tc>
        <w:tc>
          <w:tcPr>
            <w:tcW w:w="1985" w:type="dxa"/>
            <w:tcBorders>
              <w:top w:val="single" w:sz="4" w:space="0" w:color="000000"/>
              <w:left w:val="single" w:sz="4" w:space="0" w:color="000000"/>
              <w:bottom w:val="single" w:sz="4" w:space="0" w:color="000000"/>
              <w:right w:val="single" w:sz="4" w:space="0" w:color="000000"/>
            </w:tcBorders>
            <w:vAlign w:val="center"/>
          </w:tcPr>
          <w:p w14:paraId="68C0D4F2" w14:textId="77777777" w:rsidR="00FC6FFA" w:rsidRDefault="00000000">
            <w:pPr>
              <w:tabs>
                <w:tab w:val="left" w:pos="0"/>
              </w:tabs>
              <w:spacing w:line="276" w:lineRule="auto"/>
              <w:rPr>
                <w:rFonts w:ascii="Times New Roman" w:hAnsi="Times New Roman"/>
              </w:rPr>
            </w:pPr>
            <w:r>
              <w:rPr>
                <w:rFonts w:ascii="Times" w:eastAsia="Times" w:hAnsi="Times" w:cs="Times"/>
              </w:rPr>
              <w:t xml:space="preserve">            100</w:t>
            </w:r>
          </w:p>
        </w:tc>
        <w:tc>
          <w:tcPr>
            <w:tcW w:w="1923" w:type="dxa"/>
            <w:tcBorders>
              <w:top w:val="single" w:sz="4" w:space="0" w:color="000000"/>
              <w:left w:val="single" w:sz="4" w:space="0" w:color="000000"/>
              <w:bottom w:val="single" w:sz="4" w:space="0" w:color="000000"/>
              <w:right w:val="single" w:sz="4" w:space="0" w:color="000000"/>
            </w:tcBorders>
            <w:vAlign w:val="center"/>
          </w:tcPr>
          <w:p w14:paraId="48B642F3" w14:textId="77777777" w:rsidR="00FC6FFA" w:rsidRDefault="00000000">
            <w:pPr>
              <w:tabs>
                <w:tab w:val="left" w:pos="0"/>
              </w:tabs>
              <w:spacing w:line="276" w:lineRule="auto"/>
              <w:jc w:val="center"/>
              <w:rPr>
                <w:rFonts w:ascii="Times New Roman" w:hAnsi="Times New Roman"/>
              </w:rPr>
            </w:pPr>
            <w:r>
              <w:rPr>
                <w:rFonts w:ascii="Times" w:eastAsia="Times" w:hAnsi="Times" w:cs="Times"/>
              </w:rPr>
              <w:t>0.60</w:t>
            </w:r>
          </w:p>
        </w:tc>
      </w:tr>
      <w:tr w:rsidR="00FC6FFA" w14:paraId="1CC8FE85" w14:textId="77777777">
        <w:tc>
          <w:tcPr>
            <w:tcW w:w="5920" w:type="dxa"/>
            <w:tcBorders>
              <w:top w:val="single" w:sz="4" w:space="0" w:color="000000"/>
              <w:left w:val="single" w:sz="4" w:space="0" w:color="000000"/>
              <w:bottom w:val="single" w:sz="4" w:space="0" w:color="000000"/>
              <w:right w:val="single" w:sz="4" w:space="0" w:color="000000"/>
            </w:tcBorders>
            <w:vAlign w:val="center"/>
          </w:tcPr>
          <w:p w14:paraId="2F0B4045" w14:textId="77777777" w:rsidR="00FC6FFA" w:rsidRDefault="00000000">
            <w:pPr>
              <w:tabs>
                <w:tab w:val="left" w:pos="0"/>
              </w:tabs>
              <w:spacing w:line="276" w:lineRule="auto"/>
              <w:rPr>
                <w:rFonts w:ascii="Times New Roman" w:hAnsi="Times New Roman"/>
              </w:rPr>
            </w:pPr>
            <w:r>
              <w:rPr>
                <w:rFonts w:ascii="Times" w:eastAsia="Times" w:hAnsi="Times" w:cs="Times"/>
              </w:rPr>
              <w:t>2. Ценово предложение (П2)</w:t>
            </w:r>
          </w:p>
        </w:tc>
        <w:tc>
          <w:tcPr>
            <w:tcW w:w="1985" w:type="dxa"/>
            <w:tcBorders>
              <w:top w:val="single" w:sz="4" w:space="0" w:color="000000"/>
              <w:left w:val="single" w:sz="4" w:space="0" w:color="000000"/>
              <w:bottom w:val="single" w:sz="4" w:space="0" w:color="000000"/>
              <w:right w:val="single" w:sz="4" w:space="0" w:color="000000"/>
            </w:tcBorders>
            <w:vAlign w:val="center"/>
          </w:tcPr>
          <w:p w14:paraId="5DAD72A1" w14:textId="77777777" w:rsidR="00FC6FFA" w:rsidRDefault="00000000">
            <w:pPr>
              <w:tabs>
                <w:tab w:val="left" w:pos="0"/>
              </w:tabs>
              <w:spacing w:line="276" w:lineRule="auto"/>
              <w:jc w:val="center"/>
              <w:rPr>
                <w:rFonts w:ascii="Times New Roman" w:hAnsi="Times New Roman"/>
              </w:rPr>
            </w:pPr>
            <w:r>
              <w:rPr>
                <w:rFonts w:ascii="Times" w:eastAsia="Times" w:hAnsi="Times" w:cs="Times"/>
              </w:rPr>
              <w:t>100</w:t>
            </w:r>
          </w:p>
        </w:tc>
        <w:tc>
          <w:tcPr>
            <w:tcW w:w="1923" w:type="dxa"/>
            <w:tcBorders>
              <w:top w:val="single" w:sz="4" w:space="0" w:color="000000"/>
              <w:left w:val="single" w:sz="4" w:space="0" w:color="000000"/>
              <w:bottom w:val="single" w:sz="4" w:space="0" w:color="000000"/>
              <w:right w:val="single" w:sz="4" w:space="0" w:color="000000"/>
            </w:tcBorders>
          </w:tcPr>
          <w:p w14:paraId="621362FA" w14:textId="77777777" w:rsidR="00FC6FFA" w:rsidRDefault="00000000">
            <w:pPr>
              <w:tabs>
                <w:tab w:val="left" w:pos="0"/>
              </w:tabs>
              <w:spacing w:line="276" w:lineRule="auto"/>
              <w:jc w:val="center"/>
              <w:rPr>
                <w:rFonts w:ascii="Times New Roman" w:hAnsi="Times New Roman"/>
              </w:rPr>
            </w:pPr>
            <w:r>
              <w:rPr>
                <w:rFonts w:ascii="Times" w:eastAsia="Times" w:hAnsi="Times" w:cs="Times"/>
              </w:rPr>
              <w:t>0.40</w:t>
            </w:r>
          </w:p>
        </w:tc>
      </w:tr>
    </w:tbl>
    <w:p w14:paraId="65D8E4CB" w14:textId="77777777" w:rsidR="00FC6FFA" w:rsidRDefault="00FC6FFA">
      <w:pPr>
        <w:tabs>
          <w:tab w:val="left" w:pos="0"/>
          <w:tab w:val="left" w:pos="1134"/>
        </w:tabs>
        <w:spacing w:line="276" w:lineRule="auto"/>
        <w:jc w:val="both"/>
        <w:rPr>
          <w:rFonts w:ascii="Times New Roman" w:hAnsi="Times New Roman"/>
        </w:rPr>
      </w:pPr>
    </w:p>
    <w:p w14:paraId="4CCE2D97" w14:textId="77777777" w:rsidR="00FC6FFA" w:rsidRDefault="00000000">
      <w:pPr>
        <w:tabs>
          <w:tab w:val="left" w:pos="0"/>
          <w:tab w:val="left" w:pos="1134"/>
        </w:tabs>
        <w:spacing w:line="276" w:lineRule="auto"/>
        <w:jc w:val="both"/>
        <w:rPr>
          <w:rFonts w:ascii="Times New Roman" w:hAnsi="Times New Roman"/>
        </w:rPr>
      </w:pPr>
      <w:r>
        <w:rPr>
          <w:rFonts w:ascii="Times New Roman" w:hAnsi="Times New Roman"/>
        </w:rPr>
        <w:t>Формулата, по която се изчислява комплексната оценка на n-тия кандидат, е:</w:t>
      </w:r>
    </w:p>
    <w:p w14:paraId="1CB7DEA3" w14:textId="77777777" w:rsidR="00FC6FFA" w:rsidRDefault="00FC6FFA">
      <w:pPr>
        <w:tabs>
          <w:tab w:val="left" w:pos="0"/>
        </w:tabs>
        <w:spacing w:line="276" w:lineRule="auto"/>
        <w:rPr>
          <w:rFonts w:ascii="Times" w:eastAsia="Times" w:hAnsi="Times" w:cs="Times"/>
          <w:b/>
        </w:rPr>
      </w:pPr>
    </w:p>
    <w:p w14:paraId="54E4D274" w14:textId="77777777" w:rsidR="00FC6FFA" w:rsidRDefault="00000000">
      <w:pPr>
        <w:widowControl w:val="0"/>
        <w:pBdr>
          <w:top w:val="nil"/>
          <w:left w:val="nil"/>
          <w:bottom w:val="nil"/>
          <w:right w:val="nil"/>
          <w:between w:val="nil"/>
        </w:pBdr>
        <w:tabs>
          <w:tab w:val="left" w:pos="679"/>
        </w:tabs>
        <w:spacing w:line="276" w:lineRule="auto"/>
        <w:jc w:val="both"/>
        <w:rPr>
          <w:rFonts w:ascii="Times New Roman" w:hAnsi="Times New Roman"/>
          <w:b/>
          <w:color w:val="000000"/>
          <w:szCs w:val="24"/>
          <w:highlight w:val="white"/>
        </w:rPr>
      </w:pPr>
      <w:r>
        <w:rPr>
          <w:rFonts w:ascii="Times New Roman" w:hAnsi="Times New Roman"/>
          <w:b/>
          <w:color w:val="000000"/>
          <w:szCs w:val="24"/>
          <w:highlight w:val="white"/>
        </w:rPr>
        <w:t>КО = П1 х 0,60 + П2 х 0,40, където:</w:t>
      </w:r>
    </w:p>
    <w:p w14:paraId="696A91AB" w14:textId="77777777" w:rsidR="00FC6FFA" w:rsidRDefault="00000000">
      <w:pPr>
        <w:widowControl w:val="0"/>
        <w:numPr>
          <w:ilvl w:val="0"/>
          <w:numId w:val="1"/>
        </w:numPr>
        <w:pBdr>
          <w:top w:val="nil"/>
          <w:left w:val="nil"/>
          <w:bottom w:val="nil"/>
          <w:right w:val="nil"/>
          <w:between w:val="nil"/>
        </w:pBdr>
        <w:tabs>
          <w:tab w:val="left" w:pos="679"/>
        </w:tabs>
        <w:spacing w:line="276" w:lineRule="auto"/>
        <w:jc w:val="both"/>
        <w:rPr>
          <w:rFonts w:ascii="Times New Roman" w:hAnsi="Times New Roman"/>
          <w:b/>
          <w:color w:val="000000"/>
          <w:szCs w:val="24"/>
          <w:highlight w:val="white"/>
        </w:rPr>
      </w:pPr>
      <w:r>
        <w:rPr>
          <w:rFonts w:ascii="Times New Roman" w:hAnsi="Times New Roman"/>
          <w:b/>
          <w:color w:val="000000"/>
          <w:szCs w:val="24"/>
          <w:highlight w:val="white"/>
        </w:rPr>
        <w:lastRenderedPageBreak/>
        <w:t>КО - комплексна оценка на офертата на кандидат</w:t>
      </w:r>
    </w:p>
    <w:p w14:paraId="38632BAE" w14:textId="77777777" w:rsidR="00FC6FFA" w:rsidRDefault="00000000">
      <w:pPr>
        <w:widowControl w:val="0"/>
        <w:numPr>
          <w:ilvl w:val="0"/>
          <w:numId w:val="1"/>
        </w:numPr>
        <w:pBdr>
          <w:top w:val="nil"/>
          <w:left w:val="nil"/>
          <w:bottom w:val="nil"/>
          <w:right w:val="nil"/>
          <w:between w:val="nil"/>
        </w:pBdr>
        <w:tabs>
          <w:tab w:val="left" w:pos="679"/>
        </w:tabs>
        <w:spacing w:line="276" w:lineRule="auto"/>
        <w:jc w:val="both"/>
        <w:rPr>
          <w:rFonts w:ascii="Times New Roman" w:hAnsi="Times New Roman"/>
          <w:b/>
          <w:color w:val="000000"/>
          <w:szCs w:val="24"/>
          <w:highlight w:val="white"/>
        </w:rPr>
      </w:pPr>
      <w:bookmarkStart w:id="2" w:name="_heading=h.1fob9te" w:colFirst="0" w:colLast="0"/>
      <w:bookmarkEnd w:id="2"/>
      <w:r>
        <w:rPr>
          <w:rFonts w:ascii="Times New Roman" w:hAnsi="Times New Roman"/>
          <w:b/>
          <w:color w:val="000000"/>
          <w:szCs w:val="24"/>
          <w:highlight w:val="white"/>
        </w:rPr>
        <w:t xml:space="preserve">П1 – оценка на „Организация за изпълнението на поръчката” </w:t>
      </w:r>
    </w:p>
    <w:p w14:paraId="4F8F94E4" w14:textId="77777777" w:rsidR="00FC6FFA" w:rsidRDefault="00000000">
      <w:pPr>
        <w:widowControl w:val="0"/>
        <w:numPr>
          <w:ilvl w:val="0"/>
          <w:numId w:val="1"/>
        </w:numPr>
        <w:pBdr>
          <w:top w:val="nil"/>
          <w:left w:val="nil"/>
          <w:bottom w:val="nil"/>
          <w:right w:val="nil"/>
          <w:between w:val="nil"/>
        </w:pBdr>
        <w:tabs>
          <w:tab w:val="left" w:pos="679"/>
        </w:tabs>
        <w:spacing w:line="276" w:lineRule="auto"/>
        <w:jc w:val="both"/>
        <w:rPr>
          <w:rFonts w:ascii="Times New Roman" w:hAnsi="Times New Roman"/>
          <w:b/>
          <w:color w:val="000000"/>
          <w:szCs w:val="24"/>
          <w:highlight w:val="white"/>
        </w:rPr>
      </w:pPr>
      <w:r>
        <w:rPr>
          <w:rFonts w:ascii="Times New Roman" w:hAnsi="Times New Roman"/>
          <w:b/>
          <w:color w:val="000000"/>
          <w:szCs w:val="24"/>
          <w:highlight w:val="white"/>
        </w:rPr>
        <w:t>П2 - оценка на Ценовото предложение на кандидата</w:t>
      </w:r>
    </w:p>
    <w:p w14:paraId="524FD122" w14:textId="77777777" w:rsidR="00FC6FFA" w:rsidRDefault="00FC6FFA">
      <w:pPr>
        <w:tabs>
          <w:tab w:val="left" w:pos="0"/>
          <w:tab w:val="left" w:pos="1134"/>
        </w:tabs>
        <w:spacing w:line="276" w:lineRule="auto"/>
        <w:jc w:val="both"/>
        <w:rPr>
          <w:rFonts w:ascii="Times New Roman" w:hAnsi="Times New Roman"/>
        </w:rPr>
      </w:pPr>
    </w:p>
    <w:p w14:paraId="5B16EB2E" w14:textId="77777777" w:rsidR="00FC6FFA" w:rsidRDefault="00000000">
      <w:pPr>
        <w:tabs>
          <w:tab w:val="left" w:pos="0"/>
          <w:tab w:val="left" w:pos="1134"/>
        </w:tabs>
        <w:spacing w:line="276" w:lineRule="auto"/>
        <w:jc w:val="both"/>
        <w:rPr>
          <w:rFonts w:ascii="Times New Roman" w:hAnsi="Times New Roman"/>
        </w:rPr>
      </w:pPr>
      <w:r>
        <w:rPr>
          <w:rFonts w:ascii="Times New Roman" w:hAnsi="Times New Roman"/>
        </w:rPr>
        <w:t>Максимален брой точки след прилагане на формулата за комплексната оценка - 100.</w:t>
      </w:r>
    </w:p>
    <w:p w14:paraId="194917C8" w14:textId="77777777" w:rsidR="00FC6FFA" w:rsidRDefault="00FC6FFA">
      <w:pPr>
        <w:tabs>
          <w:tab w:val="left" w:pos="0"/>
          <w:tab w:val="left" w:pos="1134"/>
        </w:tabs>
        <w:spacing w:line="276" w:lineRule="auto"/>
        <w:ind w:left="1080"/>
        <w:jc w:val="both"/>
        <w:rPr>
          <w:rFonts w:ascii="Times New Roman" w:hAnsi="Times New Roman"/>
          <w:color w:val="FF0000"/>
        </w:rPr>
      </w:pPr>
    </w:p>
    <w:p w14:paraId="242225DB" w14:textId="77777777" w:rsidR="00FC6FFA" w:rsidRDefault="00000000">
      <w:pPr>
        <w:keepNext/>
        <w:tabs>
          <w:tab w:val="left" w:pos="0"/>
          <w:tab w:val="left" w:pos="709"/>
          <w:tab w:val="left" w:pos="993"/>
        </w:tabs>
        <w:spacing w:line="276" w:lineRule="auto"/>
        <w:jc w:val="both"/>
        <w:rPr>
          <w:rFonts w:ascii="Times New Roman" w:hAnsi="Times New Roman"/>
          <w:b/>
        </w:rPr>
      </w:pPr>
      <w:bookmarkStart w:id="3" w:name="_heading=h.3znysh7" w:colFirst="0" w:colLast="0"/>
      <w:bookmarkEnd w:id="3"/>
      <w:r>
        <w:rPr>
          <w:rFonts w:ascii="Times New Roman" w:hAnsi="Times New Roman"/>
          <w:b/>
        </w:rPr>
        <w:t>3.3. Оценка по отделните показатели</w:t>
      </w:r>
    </w:p>
    <w:p w14:paraId="4D130000" w14:textId="77777777" w:rsidR="00FC6FFA" w:rsidRDefault="00FC6FFA">
      <w:pPr>
        <w:keepNext/>
        <w:tabs>
          <w:tab w:val="left" w:pos="0"/>
          <w:tab w:val="left" w:pos="709"/>
          <w:tab w:val="left" w:pos="993"/>
        </w:tabs>
        <w:spacing w:line="276" w:lineRule="auto"/>
        <w:jc w:val="both"/>
        <w:rPr>
          <w:rFonts w:ascii="Times New Roman" w:hAnsi="Times New Roman"/>
          <w:b/>
          <w:color w:val="FF0000"/>
        </w:rPr>
      </w:pPr>
    </w:p>
    <w:p w14:paraId="6CF3D7BD" w14:textId="77777777" w:rsidR="00FC6FFA" w:rsidRDefault="00000000">
      <w:pPr>
        <w:spacing w:line="276" w:lineRule="auto"/>
        <w:jc w:val="both"/>
        <w:rPr>
          <w:rFonts w:ascii="Times New Roman" w:hAnsi="Times New Roman"/>
        </w:rPr>
      </w:pPr>
      <w:r>
        <w:rPr>
          <w:rFonts w:ascii="Times New Roman" w:hAnsi="Times New Roman"/>
          <w:b/>
        </w:rPr>
        <w:t>3.3.1</w:t>
      </w:r>
      <w:r>
        <w:rPr>
          <w:rFonts w:ascii="Times New Roman" w:hAnsi="Times New Roman"/>
          <w:b/>
          <w:color w:val="002060"/>
        </w:rPr>
        <w:t xml:space="preserve">. </w:t>
      </w:r>
      <w:r>
        <w:rPr>
          <w:rFonts w:ascii="Times New Roman" w:hAnsi="Times New Roman"/>
          <w:b/>
        </w:rPr>
        <w:t xml:space="preserve">Показател 1 – „Организация за изпълнение на поръчката” – </w:t>
      </w:r>
      <w:r>
        <w:rPr>
          <w:rFonts w:ascii="Times New Roman" w:hAnsi="Times New Roman"/>
        </w:rPr>
        <w:t>с максимален брой точки – 100 и относително тегло – 60% (0,60)</w:t>
      </w:r>
    </w:p>
    <w:p w14:paraId="491F0E69" w14:textId="77777777" w:rsidR="00DF3D29" w:rsidRDefault="00DF3D29">
      <w:pPr>
        <w:spacing w:line="276" w:lineRule="auto"/>
        <w:jc w:val="both"/>
        <w:rPr>
          <w:rFonts w:ascii="Times New Roman" w:hAnsi="Times New Roman"/>
        </w:rPr>
      </w:pPr>
    </w:p>
    <w:p w14:paraId="61A86266" w14:textId="77777777" w:rsidR="00FC6FFA" w:rsidRDefault="00FC6FFA">
      <w:pPr>
        <w:spacing w:line="276" w:lineRule="auto"/>
        <w:jc w:val="both"/>
        <w:rPr>
          <w:rFonts w:ascii="Times New Roman" w:hAnsi="Times New Roman"/>
        </w:rPr>
      </w:pPr>
    </w:p>
    <w:p w14:paraId="13D3BCE6" w14:textId="7DD84FC7" w:rsidR="00FC6FFA" w:rsidRDefault="00000000">
      <w:pPr>
        <w:spacing w:line="276" w:lineRule="auto"/>
        <w:jc w:val="both"/>
        <w:rPr>
          <w:rFonts w:ascii="Times New Roman" w:hAnsi="Times New Roman"/>
        </w:rPr>
      </w:pPr>
      <w:r>
        <w:rPr>
          <w:rFonts w:ascii="Times New Roman" w:hAnsi="Times New Roman"/>
        </w:rPr>
        <w:t>Показателят „Организация за изпълнението на поръчката“ представлява оценка на разпределението на ресурсите и организацията на екипа на Изпълнителя. При оценката по този показател се оценява качеството на техническото предложение:</w:t>
      </w:r>
      <w:r w:rsidR="00735BE5">
        <w:rPr>
          <w:rFonts w:ascii="Times New Roman" w:hAnsi="Times New Roman"/>
        </w:rPr>
        <w:t xml:space="preserve"> </w:t>
      </w:r>
      <w:r>
        <w:rPr>
          <w:rFonts w:ascii="Times New Roman" w:hAnsi="Times New Roman"/>
        </w:rPr>
        <w:t xml:space="preserve">разпределението на задачите и отговорностите на отделните членове на екипа, съгласно планираните дейности и начин на координация с Възложителя; мерките за осигуряване на качеството. </w:t>
      </w:r>
    </w:p>
    <w:p w14:paraId="3D026EDD" w14:textId="77777777" w:rsidR="00FC6FFA" w:rsidRDefault="00000000">
      <w:pPr>
        <w:spacing w:line="276" w:lineRule="auto"/>
        <w:jc w:val="both"/>
        <w:rPr>
          <w:rFonts w:ascii="Times New Roman" w:hAnsi="Times New Roman"/>
        </w:rPr>
      </w:pPr>
      <w:r>
        <w:rPr>
          <w:rFonts w:ascii="Times New Roman" w:hAnsi="Times New Roman"/>
        </w:rPr>
        <w:t xml:space="preserve">В техническото предложение, кандидатът следва да предложи организация за изпълнение на поръчката, които счита за най-подходящи, в съответствие с обхвата на поръчката и заложените цели и резултати. </w:t>
      </w:r>
    </w:p>
    <w:p w14:paraId="2163EDAD" w14:textId="77777777" w:rsidR="00FC6FFA" w:rsidRDefault="00000000">
      <w:pPr>
        <w:spacing w:line="276" w:lineRule="auto"/>
        <w:jc w:val="both"/>
        <w:rPr>
          <w:rFonts w:ascii="Times New Roman" w:hAnsi="Times New Roman"/>
        </w:rPr>
      </w:pPr>
      <w:r>
        <w:rPr>
          <w:rFonts w:ascii="Times New Roman" w:hAnsi="Times New Roman"/>
        </w:rPr>
        <w:t>Офертата на кандидата трябва да съдържа предложенията му по отношение на това как ще се организира работата на екипа, как се разпределят отговорностите и дейностите между тях, методите за осъществяване на комуникацията с Възложителя, координация и съгласуване на дейностите.</w:t>
      </w:r>
    </w:p>
    <w:p w14:paraId="11A1D413" w14:textId="77777777" w:rsidR="00FC6FFA" w:rsidRDefault="00FC6FFA">
      <w:pPr>
        <w:spacing w:line="276" w:lineRule="auto"/>
        <w:jc w:val="both"/>
        <w:rPr>
          <w:rFonts w:ascii="Times New Roman" w:hAnsi="Times New Roman"/>
        </w:rPr>
      </w:pPr>
    </w:p>
    <w:p w14:paraId="0851A8A9" w14:textId="77777777" w:rsidR="00FC6FFA" w:rsidRDefault="00FC6FFA">
      <w:pPr>
        <w:spacing w:line="276" w:lineRule="auto"/>
        <w:jc w:val="both"/>
        <w:rPr>
          <w:rFonts w:ascii="Times New Roman" w:hAnsi="Times New Roman"/>
        </w:rPr>
      </w:pPr>
    </w:p>
    <w:p w14:paraId="3FC00102" w14:textId="77777777" w:rsidR="00FC6FFA" w:rsidRDefault="00FC6FFA">
      <w:pPr>
        <w:spacing w:line="276" w:lineRule="auto"/>
        <w:jc w:val="both"/>
        <w:rPr>
          <w:rFonts w:ascii="Times New Roman" w:hAnsi="Times New Roman"/>
        </w:rPr>
      </w:pPr>
    </w:p>
    <w:p w14:paraId="5B408891" w14:textId="77777777" w:rsidR="00FC6FFA" w:rsidRDefault="00FC6FFA">
      <w:pPr>
        <w:spacing w:line="276" w:lineRule="auto"/>
        <w:jc w:val="both"/>
        <w:rPr>
          <w:rFonts w:ascii="Times New Roman" w:hAnsi="Times New Roman"/>
        </w:rPr>
      </w:pPr>
    </w:p>
    <w:p w14:paraId="79E8BFCE" w14:textId="77777777" w:rsidR="00DF3D29" w:rsidRDefault="00DF3D29">
      <w:pPr>
        <w:spacing w:line="276" w:lineRule="auto"/>
        <w:jc w:val="both"/>
        <w:rPr>
          <w:rFonts w:ascii="Times New Roman" w:hAnsi="Times New Roman"/>
        </w:rPr>
      </w:pPr>
    </w:p>
    <w:p w14:paraId="083E6963" w14:textId="77777777" w:rsidR="00DF3D29" w:rsidRDefault="00DF3D29">
      <w:pPr>
        <w:spacing w:line="276" w:lineRule="auto"/>
        <w:jc w:val="both"/>
        <w:rPr>
          <w:rFonts w:ascii="Times New Roman" w:hAnsi="Times New Roman"/>
        </w:rPr>
      </w:pPr>
    </w:p>
    <w:p w14:paraId="6E83F083" w14:textId="77777777" w:rsidR="00DF3D29" w:rsidRDefault="00DF3D29">
      <w:pPr>
        <w:spacing w:line="276" w:lineRule="auto"/>
        <w:jc w:val="both"/>
        <w:rPr>
          <w:rFonts w:ascii="Times New Roman" w:hAnsi="Times New Roman"/>
        </w:rPr>
      </w:pPr>
    </w:p>
    <w:p w14:paraId="0ABBF59E" w14:textId="77777777" w:rsidR="00DF3D29" w:rsidRDefault="00DF3D29">
      <w:pPr>
        <w:spacing w:line="276" w:lineRule="auto"/>
        <w:jc w:val="both"/>
        <w:rPr>
          <w:rFonts w:ascii="Times New Roman" w:hAnsi="Times New Roman"/>
        </w:rPr>
      </w:pPr>
    </w:p>
    <w:p w14:paraId="5C726504" w14:textId="77777777" w:rsidR="00DF3D29" w:rsidRDefault="00DF3D29">
      <w:pPr>
        <w:spacing w:line="276" w:lineRule="auto"/>
        <w:jc w:val="both"/>
        <w:rPr>
          <w:rFonts w:ascii="Times New Roman" w:hAnsi="Times New Roman"/>
        </w:rPr>
      </w:pPr>
    </w:p>
    <w:p w14:paraId="56859F5A" w14:textId="77777777" w:rsidR="00DF3D29" w:rsidRDefault="00DF3D29">
      <w:pPr>
        <w:spacing w:line="276" w:lineRule="auto"/>
        <w:jc w:val="both"/>
        <w:rPr>
          <w:rFonts w:ascii="Times New Roman" w:hAnsi="Times New Roman"/>
        </w:rPr>
      </w:pPr>
    </w:p>
    <w:p w14:paraId="55C403B5" w14:textId="77777777" w:rsidR="00FC6FFA" w:rsidRDefault="00FC6FFA">
      <w:pPr>
        <w:spacing w:line="276" w:lineRule="auto"/>
        <w:jc w:val="both"/>
        <w:rPr>
          <w:rFonts w:ascii="Times New Roman" w:hAnsi="Times New Roman"/>
        </w:rPr>
      </w:pPr>
    </w:p>
    <w:p w14:paraId="472E4905" w14:textId="77777777" w:rsidR="00440D58" w:rsidRDefault="00440D58">
      <w:pPr>
        <w:spacing w:line="276" w:lineRule="auto"/>
        <w:jc w:val="both"/>
        <w:rPr>
          <w:rFonts w:ascii="Times New Roman" w:hAnsi="Times New Roman"/>
        </w:rPr>
      </w:pPr>
    </w:p>
    <w:p w14:paraId="788D75C5" w14:textId="77777777" w:rsidR="00440D58" w:rsidRDefault="00440D58">
      <w:pPr>
        <w:spacing w:line="276" w:lineRule="auto"/>
        <w:jc w:val="both"/>
        <w:rPr>
          <w:rFonts w:ascii="Times New Roman" w:hAnsi="Times New Roman"/>
        </w:rPr>
      </w:pPr>
    </w:p>
    <w:p w14:paraId="2BC3BA31" w14:textId="77777777" w:rsidR="00440D58" w:rsidRDefault="00440D58">
      <w:pPr>
        <w:spacing w:line="276" w:lineRule="auto"/>
        <w:jc w:val="both"/>
        <w:rPr>
          <w:rFonts w:ascii="Times New Roman" w:hAnsi="Times New Roman"/>
        </w:rPr>
      </w:pPr>
    </w:p>
    <w:p w14:paraId="135BA0C8" w14:textId="77777777" w:rsidR="00440D58" w:rsidRDefault="00440D58">
      <w:pPr>
        <w:spacing w:line="276" w:lineRule="auto"/>
        <w:jc w:val="both"/>
        <w:rPr>
          <w:rFonts w:ascii="Times New Roman" w:hAnsi="Times New Roman"/>
        </w:rPr>
      </w:pPr>
    </w:p>
    <w:p w14:paraId="5BCF1935" w14:textId="77777777" w:rsidR="00FC6FFA" w:rsidRDefault="00FC6FFA">
      <w:pPr>
        <w:spacing w:line="276" w:lineRule="auto"/>
        <w:jc w:val="both"/>
        <w:rPr>
          <w:rFonts w:ascii="Times New Roman" w:hAnsi="Times New Roman"/>
        </w:rPr>
      </w:pPr>
    </w:p>
    <w:p w14:paraId="3306FA05" w14:textId="77777777" w:rsidR="00FC6FFA" w:rsidRDefault="00FC6FFA">
      <w:pPr>
        <w:spacing w:line="276" w:lineRule="auto"/>
        <w:ind w:left="7080" w:firstLine="707"/>
        <w:jc w:val="center"/>
        <w:rPr>
          <w:rFonts w:ascii="Times" w:eastAsia="Times" w:hAnsi="Times" w:cs="Times"/>
        </w:rPr>
      </w:pPr>
    </w:p>
    <w:tbl>
      <w:tblPr>
        <w:tblStyle w:val="a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1"/>
        <w:gridCol w:w="2268"/>
      </w:tblGrid>
      <w:tr w:rsidR="00FC6FFA" w14:paraId="7D4EC239" w14:textId="77777777">
        <w:tc>
          <w:tcPr>
            <w:tcW w:w="7621" w:type="dxa"/>
            <w:tcBorders>
              <w:top w:val="single" w:sz="4" w:space="0" w:color="000000"/>
              <w:left w:val="single" w:sz="4" w:space="0" w:color="000000"/>
              <w:bottom w:val="single" w:sz="4" w:space="0" w:color="000000"/>
              <w:right w:val="single" w:sz="4" w:space="0" w:color="000000"/>
            </w:tcBorders>
            <w:shd w:val="clear" w:color="auto" w:fill="F2F2F2"/>
          </w:tcPr>
          <w:p w14:paraId="2DB25DA5" w14:textId="77777777" w:rsidR="00FC6FFA" w:rsidRDefault="00000000">
            <w:pPr>
              <w:widowControl w:val="0"/>
              <w:spacing w:line="276" w:lineRule="auto"/>
              <w:jc w:val="center"/>
              <w:rPr>
                <w:rFonts w:ascii="Times New Roman" w:hAnsi="Times New Roman"/>
                <w:b/>
              </w:rPr>
            </w:pPr>
            <w:r>
              <w:rPr>
                <w:rFonts w:ascii="Times New Roman" w:hAnsi="Times New Roman"/>
                <w:b/>
              </w:rPr>
              <w:lastRenderedPageBreak/>
              <w:t xml:space="preserve">П1 - „Организация за изпълнение на поръчката” </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cPr>
          <w:p w14:paraId="2EBF55E3" w14:textId="77777777" w:rsidR="00FC6FFA" w:rsidRDefault="00000000">
            <w:pPr>
              <w:widowControl w:val="0"/>
              <w:spacing w:line="276" w:lineRule="auto"/>
              <w:jc w:val="center"/>
              <w:rPr>
                <w:rFonts w:ascii="Times New Roman" w:hAnsi="Times New Roman"/>
                <w:b/>
              </w:rPr>
            </w:pPr>
            <w:r>
              <w:rPr>
                <w:rFonts w:ascii="Times New Roman" w:hAnsi="Times New Roman"/>
                <w:b/>
              </w:rPr>
              <w:t xml:space="preserve">Общ брой </w:t>
            </w:r>
            <w:proofErr w:type="spellStart"/>
            <w:r>
              <w:rPr>
                <w:rFonts w:ascii="Times New Roman" w:hAnsi="Times New Roman"/>
                <w:b/>
              </w:rPr>
              <w:t>max</w:t>
            </w:r>
            <w:proofErr w:type="spellEnd"/>
            <w:r>
              <w:rPr>
                <w:rFonts w:ascii="Times New Roman" w:hAnsi="Times New Roman"/>
                <w:b/>
              </w:rPr>
              <w:t xml:space="preserve"> точки – 100</w:t>
            </w:r>
          </w:p>
        </w:tc>
      </w:tr>
      <w:tr w:rsidR="00FC6FFA" w14:paraId="36433468" w14:textId="77777777">
        <w:trPr>
          <w:trHeight w:val="2718"/>
        </w:trPr>
        <w:tc>
          <w:tcPr>
            <w:tcW w:w="7621" w:type="dxa"/>
            <w:tcBorders>
              <w:top w:val="single" w:sz="4" w:space="0" w:color="000000"/>
              <w:left w:val="single" w:sz="4" w:space="0" w:color="000000"/>
              <w:bottom w:val="single" w:sz="4" w:space="0" w:color="000000"/>
              <w:right w:val="single" w:sz="4" w:space="0" w:color="000000"/>
            </w:tcBorders>
          </w:tcPr>
          <w:p w14:paraId="517DFFF7" w14:textId="77777777" w:rsidR="00FC6FFA" w:rsidRDefault="00000000">
            <w:pPr>
              <w:widowControl w:val="0"/>
              <w:spacing w:line="276" w:lineRule="auto"/>
              <w:jc w:val="both"/>
              <w:rPr>
                <w:rFonts w:ascii="Times New Roman" w:hAnsi="Times New Roman"/>
                <w:b/>
              </w:rPr>
            </w:pPr>
            <w:r>
              <w:rPr>
                <w:rFonts w:ascii="Times New Roman" w:hAnsi="Times New Roman"/>
                <w:b/>
              </w:rPr>
              <w:t xml:space="preserve">1. </w:t>
            </w:r>
            <w:r>
              <w:rPr>
                <w:rFonts w:ascii="Times New Roman" w:hAnsi="Times New Roman"/>
              </w:rPr>
              <w:t>Предложената от кандидата организация на изпълнението на услугата осигурява изпълнението на минималните изисквания на Възложителя, а именно:</w:t>
            </w:r>
            <w:r>
              <w:rPr>
                <w:rFonts w:ascii="Times New Roman" w:hAnsi="Times New Roman"/>
                <w:b/>
              </w:rPr>
              <w:t xml:space="preserve"> </w:t>
            </w:r>
          </w:p>
          <w:p w14:paraId="2418FFE7" w14:textId="77777777" w:rsidR="00FC6FFA" w:rsidRDefault="00000000">
            <w:pPr>
              <w:widowControl w:val="0"/>
              <w:numPr>
                <w:ilvl w:val="0"/>
                <w:numId w:val="3"/>
              </w:numPr>
              <w:pBdr>
                <w:top w:val="nil"/>
                <w:left w:val="nil"/>
                <w:bottom w:val="nil"/>
                <w:right w:val="nil"/>
                <w:between w:val="nil"/>
              </w:pBdr>
              <w:spacing w:line="276" w:lineRule="auto"/>
              <w:jc w:val="both"/>
              <w:rPr>
                <w:rFonts w:ascii="Times New Roman" w:hAnsi="Times New Roman"/>
                <w:color w:val="000000"/>
                <w:szCs w:val="24"/>
              </w:rPr>
            </w:pPr>
            <w:r>
              <w:rPr>
                <w:rFonts w:ascii="Times New Roman" w:hAnsi="Times New Roman"/>
                <w:color w:val="000000"/>
                <w:szCs w:val="24"/>
              </w:rPr>
              <w:t xml:space="preserve">кандидатът е предложил организация на работата на екипа, като е посочил как се разпределят отговорностите и дейностите между членовете му </w:t>
            </w:r>
          </w:p>
          <w:p w14:paraId="6E1E18A8" w14:textId="77777777" w:rsidR="00FC6FFA" w:rsidRDefault="00000000">
            <w:pPr>
              <w:widowControl w:val="0"/>
              <w:numPr>
                <w:ilvl w:val="0"/>
                <w:numId w:val="3"/>
              </w:numPr>
              <w:pBdr>
                <w:top w:val="nil"/>
                <w:left w:val="nil"/>
                <w:bottom w:val="nil"/>
                <w:right w:val="nil"/>
                <w:between w:val="nil"/>
              </w:pBdr>
              <w:spacing w:line="276" w:lineRule="auto"/>
              <w:jc w:val="both"/>
              <w:rPr>
                <w:rFonts w:ascii="Times New Roman" w:hAnsi="Times New Roman"/>
                <w:color w:val="000000"/>
                <w:szCs w:val="24"/>
              </w:rPr>
            </w:pPr>
            <w:r>
              <w:rPr>
                <w:rFonts w:ascii="Times New Roman" w:hAnsi="Times New Roman"/>
                <w:color w:val="000000"/>
                <w:szCs w:val="24"/>
              </w:rPr>
              <w:t>кандидатът е посочил методите за осъществяване на комуникация с Възложителя и координация и съгласуване на дейностите</w:t>
            </w:r>
          </w:p>
        </w:tc>
        <w:tc>
          <w:tcPr>
            <w:tcW w:w="2268" w:type="dxa"/>
            <w:tcBorders>
              <w:top w:val="single" w:sz="4" w:space="0" w:color="000000"/>
              <w:left w:val="single" w:sz="4" w:space="0" w:color="000000"/>
              <w:bottom w:val="single" w:sz="4" w:space="0" w:color="000000"/>
              <w:right w:val="single" w:sz="4" w:space="0" w:color="000000"/>
            </w:tcBorders>
          </w:tcPr>
          <w:p w14:paraId="13A4D9C6" w14:textId="77777777" w:rsidR="00FC6FFA" w:rsidRDefault="00000000">
            <w:pPr>
              <w:widowControl w:val="0"/>
              <w:spacing w:line="276" w:lineRule="auto"/>
              <w:jc w:val="center"/>
              <w:rPr>
                <w:rFonts w:ascii="Times New Roman" w:hAnsi="Times New Roman"/>
                <w:b/>
              </w:rPr>
            </w:pPr>
            <w:r>
              <w:rPr>
                <w:rFonts w:ascii="Times New Roman" w:hAnsi="Times New Roman"/>
                <w:b/>
              </w:rPr>
              <w:t>25 точки</w:t>
            </w:r>
          </w:p>
        </w:tc>
      </w:tr>
      <w:tr w:rsidR="00FC6FFA" w14:paraId="2D028659" w14:textId="77777777">
        <w:trPr>
          <w:trHeight w:val="807"/>
        </w:trPr>
        <w:tc>
          <w:tcPr>
            <w:tcW w:w="7621" w:type="dxa"/>
            <w:tcBorders>
              <w:top w:val="single" w:sz="4" w:space="0" w:color="000000"/>
              <w:left w:val="single" w:sz="4" w:space="0" w:color="000000"/>
              <w:bottom w:val="single" w:sz="4" w:space="0" w:color="000000"/>
              <w:right w:val="single" w:sz="4" w:space="0" w:color="000000"/>
            </w:tcBorders>
          </w:tcPr>
          <w:p w14:paraId="4B3E4B74" w14:textId="77777777" w:rsidR="00FC6FFA" w:rsidRDefault="00000000">
            <w:pPr>
              <w:widowControl w:val="0"/>
              <w:spacing w:line="276" w:lineRule="auto"/>
              <w:jc w:val="both"/>
              <w:rPr>
                <w:rFonts w:ascii="Times New Roman" w:hAnsi="Times New Roman"/>
              </w:rPr>
            </w:pPr>
            <w:r>
              <w:rPr>
                <w:rFonts w:ascii="Times New Roman" w:hAnsi="Times New Roman"/>
                <w:b/>
              </w:rPr>
              <w:t>2.</w:t>
            </w:r>
            <w:r>
              <w:rPr>
                <w:rFonts w:ascii="Times New Roman" w:hAnsi="Times New Roman"/>
              </w:rPr>
              <w:t xml:space="preserve"> Предложената от кандидата организация на изпълнението на поръчката осигурява изпълнението на минималните изисквания на Възложителя, като те са надградени, както следва: </w:t>
            </w:r>
          </w:p>
          <w:p w14:paraId="2FE17A88" w14:textId="76D9A48E" w:rsidR="00FC6FFA" w:rsidRDefault="00000000">
            <w:pPr>
              <w:widowControl w:val="0"/>
              <w:numPr>
                <w:ilvl w:val="0"/>
                <w:numId w:val="3"/>
              </w:numPr>
              <w:pBdr>
                <w:top w:val="nil"/>
                <w:left w:val="nil"/>
                <w:bottom w:val="nil"/>
                <w:right w:val="nil"/>
                <w:between w:val="nil"/>
              </w:pBdr>
              <w:spacing w:line="276" w:lineRule="auto"/>
              <w:jc w:val="both"/>
              <w:rPr>
                <w:rFonts w:ascii="Times New Roman" w:hAnsi="Times New Roman"/>
                <w:color w:val="000000"/>
                <w:szCs w:val="24"/>
              </w:rPr>
            </w:pPr>
            <w:r>
              <w:rPr>
                <w:rFonts w:ascii="Times New Roman" w:hAnsi="Times New Roman"/>
                <w:color w:val="000000"/>
                <w:szCs w:val="24"/>
              </w:rPr>
              <w:t>кандидатът е представил дейностите, като всяка от дейностите е декомпозирана на отделни задачи</w:t>
            </w:r>
            <w:r>
              <w:rPr>
                <w:rFonts w:ascii="Times New Roman" w:hAnsi="Times New Roman"/>
                <w:color w:val="000000"/>
                <w:szCs w:val="24"/>
                <w:vertAlign w:val="superscript"/>
              </w:rPr>
              <w:footnoteReference w:id="1"/>
            </w:r>
            <w:r>
              <w:rPr>
                <w:rFonts w:ascii="Times New Roman" w:hAnsi="Times New Roman"/>
                <w:color w:val="000000"/>
                <w:szCs w:val="24"/>
              </w:rPr>
              <w:t xml:space="preserve"> </w:t>
            </w:r>
          </w:p>
          <w:p w14:paraId="782681A1" w14:textId="77777777" w:rsidR="00FC6FFA" w:rsidRDefault="00000000">
            <w:pPr>
              <w:widowControl w:val="0"/>
              <w:numPr>
                <w:ilvl w:val="0"/>
                <w:numId w:val="3"/>
              </w:numPr>
              <w:pBdr>
                <w:top w:val="nil"/>
                <w:left w:val="nil"/>
                <w:bottom w:val="nil"/>
                <w:right w:val="nil"/>
                <w:between w:val="nil"/>
              </w:pBdr>
              <w:spacing w:line="276" w:lineRule="auto"/>
              <w:jc w:val="both"/>
              <w:rPr>
                <w:rFonts w:ascii="Times New Roman" w:hAnsi="Times New Roman"/>
                <w:color w:val="000000"/>
                <w:szCs w:val="24"/>
              </w:rPr>
            </w:pPr>
            <w:r>
              <w:rPr>
                <w:rFonts w:ascii="Times New Roman" w:hAnsi="Times New Roman"/>
                <w:color w:val="000000"/>
                <w:szCs w:val="24"/>
              </w:rPr>
              <w:t>кандидатът е предложил организация на работата на екипа, като посочил е как се разпределят отговорностите и дейностите между членовете му, включително е посочил разпределение на ниво отделна задача</w:t>
            </w:r>
          </w:p>
          <w:p w14:paraId="7847EF9A" w14:textId="77777777" w:rsidR="00FC6FFA" w:rsidRDefault="00000000">
            <w:pPr>
              <w:widowControl w:val="0"/>
              <w:numPr>
                <w:ilvl w:val="0"/>
                <w:numId w:val="3"/>
              </w:numPr>
              <w:pBdr>
                <w:top w:val="nil"/>
                <w:left w:val="nil"/>
                <w:bottom w:val="nil"/>
                <w:right w:val="nil"/>
                <w:between w:val="nil"/>
              </w:pBdr>
              <w:spacing w:line="276" w:lineRule="auto"/>
              <w:jc w:val="both"/>
              <w:rPr>
                <w:rFonts w:ascii="Times New Roman" w:hAnsi="Times New Roman"/>
                <w:color w:val="000000"/>
                <w:szCs w:val="24"/>
              </w:rPr>
            </w:pPr>
            <w:r>
              <w:rPr>
                <w:rFonts w:ascii="Times New Roman" w:hAnsi="Times New Roman"/>
                <w:color w:val="000000"/>
                <w:szCs w:val="24"/>
              </w:rPr>
              <w:t>кандидатът е посочил методите за осъществяване на комуникация с Възложителя и координация и съгласуване на дейностите, като наред с това е посочил и начините за осъществяване на комуникация вътре в екипа за изпълнение на услугата.</w:t>
            </w:r>
          </w:p>
        </w:tc>
        <w:tc>
          <w:tcPr>
            <w:tcW w:w="2268" w:type="dxa"/>
            <w:tcBorders>
              <w:top w:val="single" w:sz="4" w:space="0" w:color="000000"/>
              <w:left w:val="single" w:sz="4" w:space="0" w:color="000000"/>
              <w:bottom w:val="single" w:sz="4" w:space="0" w:color="000000"/>
              <w:right w:val="single" w:sz="4" w:space="0" w:color="000000"/>
            </w:tcBorders>
          </w:tcPr>
          <w:p w14:paraId="7ABFD95C" w14:textId="77777777" w:rsidR="00FC6FFA" w:rsidRDefault="00000000">
            <w:pPr>
              <w:widowControl w:val="0"/>
              <w:spacing w:line="276" w:lineRule="auto"/>
              <w:jc w:val="center"/>
              <w:rPr>
                <w:rFonts w:ascii="Times New Roman" w:hAnsi="Times New Roman"/>
                <w:b/>
              </w:rPr>
            </w:pPr>
            <w:r>
              <w:rPr>
                <w:rFonts w:ascii="Times New Roman" w:hAnsi="Times New Roman"/>
                <w:b/>
              </w:rPr>
              <w:t>50 точки</w:t>
            </w:r>
          </w:p>
        </w:tc>
      </w:tr>
      <w:tr w:rsidR="00FC6FFA" w14:paraId="1D3996BC" w14:textId="77777777">
        <w:trPr>
          <w:trHeight w:val="2718"/>
        </w:trPr>
        <w:tc>
          <w:tcPr>
            <w:tcW w:w="7621" w:type="dxa"/>
            <w:tcBorders>
              <w:top w:val="single" w:sz="4" w:space="0" w:color="000000"/>
              <w:left w:val="single" w:sz="4" w:space="0" w:color="000000"/>
              <w:bottom w:val="single" w:sz="4" w:space="0" w:color="000000"/>
              <w:right w:val="single" w:sz="4" w:space="0" w:color="000000"/>
            </w:tcBorders>
          </w:tcPr>
          <w:p w14:paraId="54E8DBC6" w14:textId="77777777" w:rsidR="00FC6FFA" w:rsidRDefault="00000000">
            <w:pPr>
              <w:widowControl w:val="0"/>
              <w:spacing w:line="276" w:lineRule="auto"/>
              <w:jc w:val="both"/>
              <w:rPr>
                <w:rFonts w:ascii="Times New Roman" w:hAnsi="Times New Roman"/>
              </w:rPr>
            </w:pPr>
            <w:r>
              <w:rPr>
                <w:rFonts w:ascii="Times New Roman" w:hAnsi="Times New Roman"/>
                <w:b/>
              </w:rPr>
              <w:t>2.</w:t>
            </w:r>
            <w:r>
              <w:rPr>
                <w:rFonts w:ascii="Times New Roman" w:hAnsi="Times New Roman"/>
              </w:rPr>
              <w:t xml:space="preserve"> Предложената от кандидата организация на изпълнението на поръчката осигурява изпълнението на минималните изисквания на Възложителя, посочени в Техническата спецификация, като те са надградени, както следва:</w:t>
            </w:r>
          </w:p>
          <w:p w14:paraId="044413CC" w14:textId="74C8FCB4" w:rsidR="00FC6FFA" w:rsidRDefault="00000000">
            <w:pPr>
              <w:widowControl w:val="0"/>
              <w:numPr>
                <w:ilvl w:val="0"/>
                <w:numId w:val="3"/>
              </w:numPr>
              <w:pBdr>
                <w:top w:val="nil"/>
                <w:left w:val="nil"/>
                <w:bottom w:val="nil"/>
                <w:right w:val="nil"/>
                <w:between w:val="nil"/>
              </w:pBdr>
              <w:spacing w:line="276" w:lineRule="auto"/>
              <w:jc w:val="both"/>
              <w:rPr>
                <w:rFonts w:ascii="Times New Roman" w:hAnsi="Times New Roman"/>
                <w:color w:val="000000"/>
                <w:szCs w:val="24"/>
              </w:rPr>
            </w:pPr>
            <w:r>
              <w:rPr>
                <w:rFonts w:ascii="Times New Roman" w:hAnsi="Times New Roman"/>
                <w:color w:val="000000"/>
                <w:szCs w:val="24"/>
              </w:rPr>
              <w:t>кандидатът е представил дейностите, като всяка от дейностите е декомпозирана на отделни задачи</w:t>
            </w:r>
            <w:r w:rsidR="00440D58">
              <w:rPr>
                <w:rFonts w:ascii="Times New Roman" w:hAnsi="Times New Roman"/>
                <w:color w:val="000000"/>
                <w:szCs w:val="24"/>
              </w:rPr>
              <w:t>.</w:t>
            </w:r>
            <w:r>
              <w:rPr>
                <w:rFonts w:ascii="Times New Roman" w:hAnsi="Times New Roman"/>
                <w:color w:val="000000"/>
                <w:szCs w:val="24"/>
              </w:rPr>
              <w:t xml:space="preserve"> В допълнение, за всяка задача са посочени резултати, които ще бъдат постигнати от нейното изпълнение.</w:t>
            </w:r>
          </w:p>
          <w:p w14:paraId="42B83CEB" w14:textId="77777777" w:rsidR="00FC6FFA" w:rsidRDefault="00000000">
            <w:pPr>
              <w:widowControl w:val="0"/>
              <w:numPr>
                <w:ilvl w:val="0"/>
                <w:numId w:val="3"/>
              </w:numPr>
              <w:pBdr>
                <w:top w:val="nil"/>
                <w:left w:val="nil"/>
                <w:bottom w:val="nil"/>
                <w:right w:val="nil"/>
                <w:between w:val="nil"/>
              </w:pBdr>
              <w:spacing w:line="276" w:lineRule="auto"/>
              <w:jc w:val="both"/>
              <w:rPr>
                <w:rFonts w:ascii="Times New Roman" w:hAnsi="Times New Roman"/>
                <w:color w:val="000000"/>
                <w:szCs w:val="24"/>
              </w:rPr>
            </w:pPr>
            <w:r>
              <w:rPr>
                <w:rFonts w:ascii="Times New Roman" w:hAnsi="Times New Roman"/>
                <w:color w:val="000000"/>
                <w:szCs w:val="24"/>
              </w:rPr>
              <w:t xml:space="preserve">кандидатът е предложил организация на работата на екипа, като посочил е как се разпределят отговорностите и дейностите между членовете му, включително е посочил разпределение на ниво отделна задача. Наред с това, кандидатът е посочил метод за делегиране/възлагане на задачи на отделните членове на екипа. </w:t>
            </w:r>
          </w:p>
          <w:p w14:paraId="3105EBF9" w14:textId="77777777" w:rsidR="00FC6FFA" w:rsidRDefault="00000000">
            <w:pPr>
              <w:widowControl w:val="0"/>
              <w:numPr>
                <w:ilvl w:val="0"/>
                <w:numId w:val="3"/>
              </w:numPr>
              <w:pBdr>
                <w:top w:val="nil"/>
                <w:left w:val="nil"/>
                <w:bottom w:val="nil"/>
                <w:right w:val="nil"/>
                <w:between w:val="nil"/>
              </w:pBdr>
              <w:spacing w:line="276" w:lineRule="auto"/>
              <w:jc w:val="both"/>
              <w:rPr>
                <w:rFonts w:ascii="Times New Roman" w:hAnsi="Times New Roman"/>
                <w:color w:val="000000"/>
                <w:szCs w:val="24"/>
              </w:rPr>
            </w:pPr>
            <w:r>
              <w:rPr>
                <w:rFonts w:ascii="Times New Roman" w:hAnsi="Times New Roman"/>
                <w:color w:val="000000"/>
                <w:szCs w:val="24"/>
              </w:rPr>
              <w:t xml:space="preserve">кандидатът е посочил методите за осъществяване на комуникация с </w:t>
            </w:r>
            <w:r>
              <w:rPr>
                <w:rFonts w:ascii="Times New Roman" w:hAnsi="Times New Roman"/>
                <w:color w:val="000000"/>
                <w:szCs w:val="24"/>
              </w:rPr>
              <w:lastRenderedPageBreak/>
              <w:t>Възложителя и координация и съгласуване на дейностите, като наред с това е посочил и начините за осъществяване на комуникация вътре в екипа за изпълнение на услугата. Наред с това кандидатът е посочил методи за осъществяване на комуникация със заинтересованите страни.</w:t>
            </w:r>
          </w:p>
        </w:tc>
        <w:tc>
          <w:tcPr>
            <w:tcW w:w="2268" w:type="dxa"/>
            <w:tcBorders>
              <w:top w:val="single" w:sz="4" w:space="0" w:color="000000"/>
              <w:left w:val="single" w:sz="4" w:space="0" w:color="000000"/>
              <w:bottom w:val="single" w:sz="4" w:space="0" w:color="000000"/>
              <w:right w:val="single" w:sz="4" w:space="0" w:color="000000"/>
            </w:tcBorders>
          </w:tcPr>
          <w:p w14:paraId="4B3A78D0" w14:textId="77777777" w:rsidR="00FC6FFA" w:rsidRDefault="00000000">
            <w:pPr>
              <w:widowControl w:val="0"/>
              <w:spacing w:line="276" w:lineRule="auto"/>
              <w:jc w:val="center"/>
              <w:rPr>
                <w:rFonts w:ascii="Times New Roman" w:hAnsi="Times New Roman"/>
                <w:b/>
              </w:rPr>
            </w:pPr>
            <w:r>
              <w:rPr>
                <w:rFonts w:ascii="Times New Roman" w:hAnsi="Times New Roman"/>
                <w:b/>
              </w:rPr>
              <w:lastRenderedPageBreak/>
              <w:t>75 точки</w:t>
            </w:r>
          </w:p>
        </w:tc>
      </w:tr>
      <w:tr w:rsidR="00FC6FFA" w14:paraId="54E9B372" w14:textId="77777777">
        <w:trPr>
          <w:trHeight w:val="2718"/>
        </w:trPr>
        <w:tc>
          <w:tcPr>
            <w:tcW w:w="7621" w:type="dxa"/>
            <w:tcBorders>
              <w:top w:val="single" w:sz="4" w:space="0" w:color="000000"/>
              <w:left w:val="single" w:sz="4" w:space="0" w:color="000000"/>
              <w:bottom w:val="single" w:sz="4" w:space="0" w:color="000000"/>
              <w:right w:val="single" w:sz="4" w:space="0" w:color="000000"/>
            </w:tcBorders>
          </w:tcPr>
          <w:p w14:paraId="4558759A" w14:textId="77777777" w:rsidR="00FC6FFA" w:rsidRDefault="00000000">
            <w:pPr>
              <w:widowControl w:val="0"/>
              <w:spacing w:line="276" w:lineRule="auto"/>
              <w:jc w:val="both"/>
              <w:rPr>
                <w:rFonts w:ascii="Times New Roman" w:hAnsi="Times New Roman"/>
              </w:rPr>
            </w:pPr>
            <w:r>
              <w:rPr>
                <w:rFonts w:ascii="Times New Roman" w:hAnsi="Times New Roman"/>
                <w:b/>
              </w:rPr>
              <w:t>2.</w:t>
            </w:r>
            <w:r>
              <w:rPr>
                <w:rFonts w:ascii="Times New Roman" w:hAnsi="Times New Roman"/>
              </w:rPr>
              <w:t xml:space="preserve"> Предложената от кандидата организация на изпълнението на поръчката осигурява изпълнението на минималните изисквания на Възложителя, посочени в Техническата спецификация, като те са надградени, както следва:</w:t>
            </w:r>
          </w:p>
          <w:p w14:paraId="6DA45D79" w14:textId="0AA3127C" w:rsidR="00FC6FFA" w:rsidRDefault="00000000">
            <w:pPr>
              <w:widowControl w:val="0"/>
              <w:numPr>
                <w:ilvl w:val="0"/>
                <w:numId w:val="3"/>
              </w:numPr>
              <w:pBdr>
                <w:top w:val="nil"/>
                <w:left w:val="nil"/>
                <w:bottom w:val="nil"/>
                <w:right w:val="nil"/>
                <w:between w:val="nil"/>
              </w:pBdr>
              <w:spacing w:line="276" w:lineRule="auto"/>
              <w:jc w:val="both"/>
              <w:rPr>
                <w:rFonts w:ascii="Times New Roman" w:hAnsi="Times New Roman"/>
                <w:color w:val="000000"/>
                <w:szCs w:val="24"/>
              </w:rPr>
            </w:pPr>
            <w:r>
              <w:rPr>
                <w:rFonts w:ascii="Times New Roman" w:hAnsi="Times New Roman"/>
                <w:color w:val="000000"/>
                <w:szCs w:val="24"/>
              </w:rPr>
              <w:t>кандидатът е представил дейностите, като всяка от дейностите е декомпозирана на отделни задачи. В допълнение, за всяка задача са посочени резултати, които ще бъдат постигнати от нейното изпълнение. Наред с това, кандидатът е посочил мерки за проследяване изпълнението на задачите и постигнатите резултати</w:t>
            </w:r>
            <w:r w:rsidR="00440D58">
              <w:rPr>
                <w:rFonts w:ascii="Times New Roman" w:hAnsi="Times New Roman"/>
                <w:color w:val="000000"/>
                <w:szCs w:val="24"/>
              </w:rPr>
              <w:t>.</w:t>
            </w:r>
          </w:p>
          <w:p w14:paraId="55A2E491" w14:textId="5B34D432" w:rsidR="00FC6FFA" w:rsidRDefault="00000000">
            <w:pPr>
              <w:widowControl w:val="0"/>
              <w:numPr>
                <w:ilvl w:val="0"/>
                <w:numId w:val="3"/>
              </w:numPr>
              <w:pBdr>
                <w:top w:val="nil"/>
                <w:left w:val="nil"/>
                <w:bottom w:val="nil"/>
                <w:right w:val="nil"/>
                <w:between w:val="nil"/>
              </w:pBdr>
              <w:spacing w:line="276" w:lineRule="auto"/>
              <w:jc w:val="both"/>
              <w:rPr>
                <w:rFonts w:ascii="Times New Roman" w:hAnsi="Times New Roman"/>
                <w:strike/>
                <w:color w:val="000000"/>
                <w:szCs w:val="24"/>
              </w:rPr>
            </w:pPr>
            <w:r>
              <w:rPr>
                <w:rFonts w:ascii="Times New Roman" w:hAnsi="Times New Roman"/>
                <w:color w:val="000000"/>
                <w:szCs w:val="24"/>
              </w:rPr>
              <w:t>кандидатът е предложил организация на работата на екипа, като посочил е как се разпределят отговорностите и дейностите между членовете му, включително е посочил разпределение на ниво отделна задача. Наред с това, кандидатът е посочил метод за делегиране/възлагане на задачи на отделните членове на екипа. В допълнение, за всяка една дейност са дефинирани необходимите ресурси за нейното изпълнение (информация, документи, срещи с Възложителя, срещи със заинтересовани страни).</w:t>
            </w:r>
          </w:p>
          <w:p w14:paraId="65276105" w14:textId="77777777" w:rsidR="00FC6FFA" w:rsidRDefault="00000000">
            <w:pPr>
              <w:widowControl w:val="0"/>
              <w:numPr>
                <w:ilvl w:val="0"/>
                <w:numId w:val="3"/>
              </w:numPr>
              <w:pBdr>
                <w:top w:val="nil"/>
                <w:left w:val="nil"/>
                <w:bottom w:val="nil"/>
                <w:right w:val="nil"/>
                <w:between w:val="nil"/>
              </w:pBdr>
              <w:spacing w:line="276" w:lineRule="auto"/>
              <w:jc w:val="both"/>
              <w:rPr>
                <w:rFonts w:ascii="Times New Roman" w:hAnsi="Times New Roman"/>
                <w:strike/>
                <w:color w:val="000000"/>
                <w:szCs w:val="24"/>
              </w:rPr>
            </w:pPr>
            <w:r>
              <w:rPr>
                <w:rFonts w:ascii="Times New Roman" w:hAnsi="Times New Roman"/>
                <w:color w:val="000000"/>
                <w:szCs w:val="24"/>
              </w:rPr>
              <w:t xml:space="preserve">кандидатът е посочил методите за осъществяване на комуникация с Възложителя и координация и съгласуване на дейностите, като наред с това е посочил и начините за осъществяване на комуникация вътре в екипа за изпълнение на услугата. Наред с това кандидатът е представил методи за осъществяване на комуникация със заинтересованите страни. В допълнение са предложени мерки за вътрешен контрол, с който да се гарантира изпълнение на поръчката съобразно поставените изисквания. </w:t>
            </w:r>
          </w:p>
        </w:tc>
        <w:tc>
          <w:tcPr>
            <w:tcW w:w="2268" w:type="dxa"/>
            <w:tcBorders>
              <w:top w:val="single" w:sz="4" w:space="0" w:color="000000"/>
              <w:left w:val="single" w:sz="4" w:space="0" w:color="000000"/>
              <w:bottom w:val="single" w:sz="4" w:space="0" w:color="000000"/>
              <w:right w:val="single" w:sz="4" w:space="0" w:color="000000"/>
            </w:tcBorders>
          </w:tcPr>
          <w:p w14:paraId="32C1EE8F" w14:textId="77777777" w:rsidR="00FC6FFA" w:rsidRDefault="00000000">
            <w:pPr>
              <w:widowControl w:val="0"/>
              <w:spacing w:line="276" w:lineRule="auto"/>
              <w:jc w:val="center"/>
              <w:rPr>
                <w:rFonts w:ascii="Times New Roman" w:hAnsi="Times New Roman"/>
                <w:b/>
              </w:rPr>
            </w:pPr>
            <w:r>
              <w:rPr>
                <w:rFonts w:ascii="Times New Roman" w:hAnsi="Times New Roman"/>
                <w:b/>
              </w:rPr>
              <w:t>100 точки</w:t>
            </w:r>
          </w:p>
        </w:tc>
      </w:tr>
    </w:tbl>
    <w:p w14:paraId="249611E7" w14:textId="77777777" w:rsidR="00FC6FFA" w:rsidRDefault="00FC6FFA">
      <w:pPr>
        <w:tabs>
          <w:tab w:val="left" w:pos="0"/>
          <w:tab w:val="left" w:pos="1134"/>
        </w:tabs>
        <w:spacing w:line="276" w:lineRule="auto"/>
        <w:jc w:val="both"/>
        <w:rPr>
          <w:rFonts w:ascii="Times" w:eastAsia="Times" w:hAnsi="Times" w:cs="Times"/>
        </w:rPr>
      </w:pPr>
    </w:p>
    <w:p w14:paraId="2C399D91" w14:textId="77777777" w:rsidR="00FC6FFA" w:rsidRDefault="00FC6FFA">
      <w:pPr>
        <w:tabs>
          <w:tab w:val="left" w:pos="0"/>
          <w:tab w:val="left" w:pos="1134"/>
        </w:tabs>
        <w:spacing w:line="276" w:lineRule="auto"/>
        <w:jc w:val="both"/>
        <w:rPr>
          <w:rFonts w:ascii="Times" w:eastAsia="Times" w:hAnsi="Times" w:cs="Times"/>
        </w:rPr>
      </w:pPr>
    </w:p>
    <w:p w14:paraId="395E8490" w14:textId="77777777" w:rsidR="00FC6FFA" w:rsidRDefault="00FC6FFA">
      <w:pPr>
        <w:tabs>
          <w:tab w:val="left" w:pos="0"/>
          <w:tab w:val="left" w:pos="1134"/>
        </w:tabs>
        <w:spacing w:line="276" w:lineRule="auto"/>
        <w:jc w:val="both"/>
        <w:rPr>
          <w:rFonts w:asciiTheme="minorHAnsi" w:eastAsia="Times" w:hAnsiTheme="minorHAnsi" w:cs="Times"/>
        </w:rPr>
      </w:pPr>
    </w:p>
    <w:p w14:paraId="480295DC" w14:textId="77777777" w:rsidR="00735BE5" w:rsidRPr="00735BE5" w:rsidRDefault="00735BE5">
      <w:pPr>
        <w:tabs>
          <w:tab w:val="left" w:pos="0"/>
          <w:tab w:val="left" w:pos="1134"/>
        </w:tabs>
        <w:spacing w:line="276" w:lineRule="auto"/>
        <w:jc w:val="both"/>
        <w:rPr>
          <w:rFonts w:asciiTheme="minorHAnsi" w:eastAsia="Times" w:hAnsiTheme="minorHAnsi" w:cs="Times"/>
        </w:rPr>
      </w:pPr>
    </w:p>
    <w:p w14:paraId="7A106DB0" w14:textId="77777777" w:rsidR="00FC6FFA" w:rsidRDefault="00FC6FFA">
      <w:pPr>
        <w:tabs>
          <w:tab w:val="left" w:pos="0"/>
          <w:tab w:val="left" w:pos="1134"/>
        </w:tabs>
        <w:spacing w:line="276" w:lineRule="auto"/>
        <w:jc w:val="both"/>
        <w:rPr>
          <w:rFonts w:asciiTheme="minorHAnsi" w:eastAsia="Times" w:hAnsiTheme="minorHAnsi" w:cs="Times"/>
        </w:rPr>
      </w:pPr>
    </w:p>
    <w:p w14:paraId="47F11FCC" w14:textId="77777777" w:rsidR="00440D58" w:rsidRPr="00440D58" w:rsidRDefault="00440D58">
      <w:pPr>
        <w:tabs>
          <w:tab w:val="left" w:pos="0"/>
          <w:tab w:val="left" w:pos="1134"/>
        </w:tabs>
        <w:spacing w:line="276" w:lineRule="auto"/>
        <w:jc w:val="both"/>
        <w:rPr>
          <w:rFonts w:asciiTheme="minorHAnsi" w:eastAsia="Times" w:hAnsiTheme="minorHAnsi" w:cs="Times"/>
        </w:rPr>
      </w:pPr>
    </w:p>
    <w:p w14:paraId="634CEFEC" w14:textId="77777777" w:rsidR="00FC6FFA" w:rsidRDefault="00FC6FFA">
      <w:pPr>
        <w:tabs>
          <w:tab w:val="left" w:pos="0"/>
          <w:tab w:val="left" w:pos="1134"/>
        </w:tabs>
        <w:spacing w:line="276" w:lineRule="auto"/>
        <w:jc w:val="both"/>
        <w:rPr>
          <w:rFonts w:ascii="Times" w:eastAsia="Times" w:hAnsi="Times" w:cs="Times"/>
        </w:rPr>
      </w:pPr>
    </w:p>
    <w:p w14:paraId="199D1BA9" w14:textId="77777777" w:rsidR="00FC6FFA" w:rsidRDefault="00000000">
      <w:pPr>
        <w:tabs>
          <w:tab w:val="left" w:pos="0"/>
          <w:tab w:val="left" w:pos="1134"/>
        </w:tabs>
        <w:spacing w:line="276" w:lineRule="auto"/>
        <w:jc w:val="both"/>
        <w:rPr>
          <w:rFonts w:ascii="Times" w:eastAsia="Times" w:hAnsi="Times" w:cs="Times"/>
          <w:b/>
        </w:rPr>
      </w:pPr>
      <w:r>
        <w:rPr>
          <w:rFonts w:ascii="Times" w:eastAsia="Times" w:hAnsi="Times" w:cs="Times"/>
        </w:rPr>
        <w:lastRenderedPageBreak/>
        <w:t xml:space="preserve">3.3.2. Оценка по показател </w:t>
      </w:r>
      <w:r>
        <w:rPr>
          <w:rFonts w:ascii="Times" w:eastAsia="Times" w:hAnsi="Times" w:cs="Times"/>
          <w:b/>
        </w:rPr>
        <w:t>Ценово предложение (П2)</w:t>
      </w:r>
    </w:p>
    <w:p w14:paraId="3B3ADD97" w14:textId="77777777" w:rsidR="00FC6FFA" w:rsidRDefault="00FC6FFA">
      <w:pPr>
        <w:spacing w:line="276" w:lineRule="auto"/>
        <w:jc w:val="both"/>
        <w:rPr>
          <w:rFonts w:ascii="Times" w:eastAsia="Times" w:hAnsi="Times" w:cs="Times"/>
        </w:rPr>
      </w:pPr>
    </w:p>
    <w:p w14:paraId="5C53B05D" w14:textId="77777777" w:rsidR="00FC6FFA" w:rsidRDefault="00000000">
      <w:pPr>
        <w:pBdr>
          <w:top w:val="nil"/>
          <w:left w:val="nil"/>
          <w:bottom w:val="nil"/>
          <w:right w:val="nil"/>
          <w:between w:val="nil"/>
        </w:pBdr>
        <w:spacing w:line="276" w:lineRule="auto"/>
        <w:jc w:val="both"/>
        <w:rPr>
          <w:rFonts w:ascii="Times New Roman" w:hAnsi="Times New Roman"/>
          <w:color w:val="000000"/>
          <w:szCs w:val="24"/>
        </w:rPr>
      </w:pPr>
      <w:r>
        <w:rPr>
          <w:rFonts w:ascii="Times New Roman" w:hAnsi="Times New Roman"/>
          <w:color w:val="000000"/>
          <w:szCs w:val="24"/>
        </w:rPr>
        <w:t>Максималният брой точки получава офертата с предложена най-ниска обща цена без ДДС – 100 точки.  Точките на останалите кандидати се определят в съотношение към най-ниската предложена цена по следната формула:</w:t>
      </w:r>
    </w:p>
    <w:p w14:paraId="11A1B6B5" w14:textId="77777777" w:rsidR="00FC6FFA" w:rsidRDefault="00FC6FFA">
      <w:pPr>
        <w:pBdr>
          <w:top w:val="nil"/>
          <w:left w:val="nil"/>
          <w:bottom w:val="nil"/>
          <w:right w:val="nil"/>
          <w:between w:val="nil"/>
        </w:pBdr>
        <w:spacing w:line="276" w:lineRule="auto"/>
        <w:ind w:firstLine="360"/>
        <w:jc w:val="both"/>
        <w:rPr>
          <w:rFonts w:ascii="Times New Roman" w:hAnsi="Times New Roman"/>
          <w:b/>
          <w:color w:val="000000"/>
          <w:szCs w:val="24"/>
        </w:rPr>
      </w:pPr>
    </w:p>
    <w:p w14:paraId="03EAE5D8" w14:textId="77777777" w:rsidR="00FC6FFA" w:rsidRDefault="00000000">
      <w:pPr>
        <w:pBdr>
          <w:top w:val="nil"/>
          <w:left w:val="nil"/>
          <w:bottom w:val="nil"/>
          <w:right w:val="nil"/>
          <w:between w:val="nil"/>
        </w:pBdr>
        <w:spacing w:line="276" w:lineRule="auto"/>
        <w:ind w:firstLine="360"/>
        <w:jc w:val="both"/>
        <w:rPr>
          <w:rFonts w:ascii="Times New Roman" w:hAnsi="Times New Roman"/>
          <w:color w:val="000000"/>
          <w:szCs w:val="24"/>
        </w:rPr>
      </w:pPr>
      <w:r>
        <w:rPr>
          <w:rFonts w:ascii="Times New Roman" w:hAnsi="Times New Roman"/>
          <w:b/>
          <w:color w:val="000000"/>
          <w:szCs w:val="24"/>
        </w:rPr>
        <w:t xml:space="preserve">Т </w:t>
      </w:r>
      <w:r>
        <w:rPr>
          <w:rFonts w:ascii="Times New Roman" w:hAnsi="Times New Roman"/>
          <w:b/>
          <w:color w:val="000000"/>
          <w:szCs w:val="24"/>
          <w:vertAlign w:val="subscript"/>
        </w:rPr>
        <w:t>ц.</w:t>
      </w:r>
      <w:r>
        <w:rPr>
          <w:rFonts w:ascii="Times New Roman" w:hAnsi="Times New Roman"/>
          <w:b/>
          <w:color w:val="000000"/>
          <w:szCs w:val="24"/>
        </w:rPr>
        <w:t> =</w:t>
      </w:r>
      <w:r>
        <w:rPr>
          <w:rFonts w:ascii="Times New Roman" w:hAnsi="Times New Roman"/>
          <w:color w:val="000000"/>
          <w:szCs w:val="24"/>
        </w:rPr>
        <w:t> </w:t>
      </w:r>
      <w:r>
        <w:rPr>
          <w:rFonts w:ascii="Times New Roman" w:hAnsi="Times New Roman"/>
          <w:b/>
          <w:color w:val="000000"/>
          <w:szCs w:val="24"/>
        </w:rPr>
        <w:t>(</w:t>
      </w:r>
      <w:proofErr w:type="spellStart"/>
      <w:r>
        <w:rPr>
          <w:rFonts w:ascii="Times New Roman" w:hAnsi="Times New Roman"/>
          <w:b/>
          <w:color w:val="000000"/>
          <w:szCs w:val="24"/>
        </w:rPr>
        <w:t>С</w:t>
      </w:r>
      <w:r>
        <w:rPr>
          <w:rFonts w:ascii="Times New Roman" w:hAnsi="Times New Roman"/>
          <w:b/>
          <w:color w:val="000000"/>
          <w:szCs w:val="24"/>
          <w:vertAlign w:val="subscript"/>
        </w:rPr>
        <w:t>min</w:t>
      </w:r>
      <w:proofErr w:type="spellEnd"/>
      <w:r>
        <w:rPr>
          <w:rFonts w:ascii="Times New Roman" w:hAnsi="Times New Roman"/>
          <w:b/>
          <w:color w:val="000000"/>
          <w:szCs w:val="24"/>
        </w:rPr>
        <w:t>/</w:t>
      </w:r>
      <w:proofErr w:type="spellStart"/>
      <w:r>
        <w:rPr>
          <w:rFonts w:ascii="Times New Roman" w:hAnsi="Times New Roman"/>
          <w:b/>
          <w:color w:val="000000"/>
          <w:szCs w:val="24"/>
        </w:rPr>
        <w:t>С</w:t>
      </w:r>
      <w:r>
        <w:rPr>
          <w:rFonts w:ascii="Times New Roman" w:hAnsi="Times New Roman"/>
          <w:b/>
          <w:color w:val="000000"/>
          <w:szCs w:val="24"/>
          <w:vertAlign w:val="subscript"/>
        </w:rPr>
        <w:t>n</w:t>
      </w:r>
      <w:proofErr w:type="spellEnd"/>
      <w:r>
        <w:rPr>
          <w:rFonts w:ascii="Times New Roman" w:hAnsi="Times New Roman"/>
          <w:b/>
          <w:color w:val="000000"/>
          <w:szCs w:val="24"/>
        </w:rPr>
        <w:t>) х 100</w:t>
      </w:r>
      <w:r>
        <w:rPr>
          <w:rFonts w:ascii="Times New Roman" w:hAnsi="Times New Roman"/>
          <w:color w:val="000000"/>
          <w:szCs w:val="24"/>
        </w:rPr>
        <w:t xml:space="preserve">, където, </w:t>
      </w:r>
    </w:p>
    <w:p w14:paraId="658049C3" w14:textId="77777777" w:rsidR="00FC6FFA" w:rsidRDefault="00FC6FFA">
      <w:pPr>
        <w:pBdr>
          <w:top w:val="nil"/>
          <w:left w:val="nil"/>
          <w:bottom w:val="nil"/>
          <w:right w:val="nil"/>
          <w:between w:val="nil"/>
        </w:pBdr>
        <w:spacing w:line="276" w:lineRule="auto"/>
        <w:ind w:firstLine="360"/>
        <w:jc w:val="both"/>
        <w:rPr>
          <w:rFonts w:ascii="Times New Roman" w:hAnsi="Times New Roman"/>
          <w:color w:val="000000"/>
          <w:szCs w:val="24"/>
        </w:rPr>
      </w:pPr>
    </w:p>
    <w:p w14:paraId="059AA3D2" w14:textId="77777777" w:rsidR="00FC6FFA" w:rsidRDefault="00000000">
      <w:pPr>
        <w:numPr>
          <w:ilvl w:val="0"/>
          <w:numId w:val="4"/>
        </w:numPr>
        <w:spacing w:line="276" w:lineRule="auto"/>
        <w:ind w:left="714" w:hanging="357"/>
        <w:jc w:val="both"/>
        <w:rPr>
          <w:rFonts w:ascii="Times New Roman" w:hAnsi="Times New Roman"/>
        </w:rPr>
      </w:pPr>
      <w:r>
        <w:rPr>
          <w:rFonts w:ascii="Times New Roman" w:hAnsi="Times New Roman"/>
        </w:rPr>
        <w:t>„100” е максималните точки по показателя</w:t>
      </w:r>
    </w:p>
    <w:p w14:paraId="188B6AEF" w14:textId="77777777" w:rsidR="00FC6FFA" w:rsidRDefault="00000000">
      <w:pPr>
        <w:numPr>
          <w:ilvl w:val="0"/>
          <w:numId w:val="4"/>
        </w:numPr>
        <w:spacing w:line="276" w:lineRule="auto"/>
        <w:ind w:left="714" w:hanging="357"/>
        <w:jc w:val="both"/>
        <w:rPr>
          <w:rFonts w:ascii="Times New Roman" w:hAnsi="Times New Roman"/>
        </w:rPr>
      </w:pPr>
      <w:proofErr w:type="spellStart"/>
      <w:r>
        <w:rPr>
          <w:rFonts w:ascii="Times New Roman" w:hAnsi="Times New Roman"/>
        </w:rPr>
        <w:t>C</w:t>
      </w:r>
      <w:r>
        <w:rPr>
          <w:rFonts w:ascii="Times New Roman" w:hAnsi="Times New Roman"/>
          <w:vertAlign w:val="subscript"/>
        </w:rPr>
        <w:t>min</w:t>
      </w:r>
      <w:proofErr w:type="spellEnd"/>
      <w:r>
        <w:rPr>
          <w:rFonts w:ascii="Times New Roman" w:hAnsi="Times New Roman"/>
        </w:rPr>
        <w:t xml:space="preserve"> е най-ниската предложена обща цена в лева без ДДС от всички оферти, допуснати до оценка</w:t>
      </w:r>
    </w:p>
    <w:p w14:paraId="37921CC7" w14:textId="77777777" w:rsidR="00FC6FFA" w:rsidRDefault="00000000">
      <w:pPr>
        <w:numPr>
          <w:ilvl w:val="0"/>
          <w:numId w:val="4"/>
        </w:numPr>
        <w:spacing w:line="276" w:lineRule="auto"/>
        <w:ind w:left="714" w:hanging="357"/>
        <w:jc w:val="both"/>
        <w:rPr>
          <w:rFonts w:ascii="Times New Roman" w:hAnsi="Times New Roman"/>
        </w:rPr>
      </w:pPr>
      <w:proofErr w:type="spellStart"/>
      <w:r>
        <w:rPr>
          <w:rFonts w:ascii="Times New Roman" w:hAnsi="Times New Roman"/>
        </w:rPr>
        <w:t>Cn</w:t>
      </w:r>
      <w:proofErr w:type="spellEnd"/>
      <w:r>
        <w:rPr>
          <w:rFonts w:ascii="Times New Roman" w:hAnsi="Times New Roman"/>
        </w:rPr>
        <w:t xml:space="preserve"> </w:t>
      </w:r>
      <w:r>
        <w:rPr>
          <w:rFonts w:ascii="Times New Roman" w:hAnsi="Times New Roman"/>
          <w:vertAlign w:val="subscript"/>
        </w:rPr>
        <w:t xml:space="preserve"> </w:t>
      </w:r>
      <w:r>
        <w:rPr>
          <w:rFonts w:ascii="Times New Roman" w:hAnsi="Times New Roman"/>
        </w:rPr>
        <w:t>– цената предложена от  n-тата оферта</w:t>
      </w:r>
    </w:p>
    <w:p w14:paraId="7B66E2D8" w14:textId="77777777" w:rsidR="00FC6FFA" w:rsidRDefault="00FC6FFA">
      <w:pPr>
        <w:tabs>
          <w:tab w:val="left" w:pos="1134"/>
        </w:tabs>
        <w:spacing w:line="276" w:lineRule="auto"/>
        <w:jc w:val="both"/>
        <w:rPr>
          <w:rFonts w:ascii="Times" w:eastAsia="Times" w:hAnsi="Times" w:cs="Times"/>
        </w:rPr>
      </w:pPr>
    </w:p>
    <w:p w14:paraId="35196F88" w14:textId="77777777" w:rsidR="00FC6FFA" w:rsidRDefault="00000000">
      <w:pPr>
        <w:tabs>
          <w:tab w:val="left" w:pos="1134"/>
        </w:tabs>
        <w:spacing w:line="276" w:lineRule="auto"/>
        <w:jc w:val="both"/>
        <w:rPr>
          <w:rFonts w:ascii="Times New Roman" w:hAnsi="Times New Roman"/>
        </w:rPr>
      </w:pPr>
      <w:r>
        <w:rPr>
          <w:rFonts w:ascii="Times New Roman" w:hAnsi="Times New Roman"/>
        </w:rPr>
        <w:t xml:space="preserve">Оценките, които ще се получат при прилагане на съответните формули, се закръгляват до втория знак след десетичната запетая. </w:t>
      </w:r>
    </w:p>
    <w:p w14:paraId="2BD88003" w14:textId="77777777" w:rsidR="00FC6FFA" w:rsidRDefault="00FC6FFA">
      <w:pPr>
        <w:tabs>
          <w:tab w:val="left" w:pos="1134"/>
        </w:tabs>
        <w:spacing w:line="276" w:lineRule="auto"/>
        <w:jc w:val="both"/>
        <w:rPr>
          <w:rFonts w:ascii="Times New Roman" w:hAnsi="Times New Roman"/>
        </w:rPr>
      </w:pPr>
    </w:p>
    <w:p w14:paraId="2BB3B122" w14:textId="77777777" w:rsidR="00FC6FFA" w:rsidRDefault="00000000">
      <w:pPr>
        <w:tabs>
          <w:tab w:val="left" w:pos="1134"/>
        </w:tabs>
        <w:spacing w:line="276" w:lineRule="auto"/>
        <w:jc w:val="both"/>
        <w:rPr>
          <w:rFonts w:ascii="Times New Roman" w:hAnsi="Times New Roman"/>
        </w:rPr>
      </w:pPr>
      <w:r>
        <w:rPr>
          <w:rFonts w:ascii="Times New Roman" w:hAnsi="Times New Roman"/>
        </w:rPr>
        <w:t>Класирането на офертите се извършва по низходящ ред на получената комплексна оценка, като на първо място се класира офертата с най-висока оценка. На първо място се класира кандидатът, получил най-висока Комплексна оценка /KO/.</w:t>
      </w:r>
    </w:p>
    <w:p w14:paraId="279F281D" w14:textId="77777777" w:rsidR="00FC6FFA" w:rsidRDefault="00FC6FFA">
      <w:pPr>
        <w:spacing w:line="276" w:lineRule="auto"/>
        <w:ind w:firstLine="708"/>
        <w:jc w:val="both"/>
        <w:rPr>
          <w:rFonts w:ascii="Times New Roman" w:hAnsi="Times New Roman"/>
        </w:rPr>
      </w:pPr>
    </w:p>
    <w:sectPr w:rsidR="00FC6FFA">
      <w:headerReference w:type="default" r:id="rId8"/>
      <w:footerReference w:type="default" r:id="rId9"/>
      <w:pgSz w:w="11906" w:h="16838"/>
      <w:pgMar w:top="1766" w:right="1134" w:bottom="1134" w:left="1134" w:header="142"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B8A89" w14:textId="77777777" w:rsidR="00EE65AB" w:rsidRDefault="00EE65AB">
      <w:r>
        <w:separator/>
      </w:r>
    </w:p>
  </w:endnote>
  <w:endnote w:type="continuationSeparator" w:id="0">
    <w:p w14:paraId="0EE67FD5" w14:textId="77777777" w:rsidR="00EE65AB" w:rsidRDefault="00EE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barU">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5544" w14:textId="77777777" w:rsidR="00FC6FFA" w:rsidRDefault="00000000">
    <w:pPr>
      <w:widowControl w:val="0"/>
      <w:spacing w:before="1"/>
      <w:ind w:left="20" w:right="18"/>
      <w:jc w:val="center"/>
      <w:rPr>
        <w:rFonts w:ascii="Times New Roman" w:hAnsi="Times New Roman"/>
        <w:sz w:val="20"/>
      </w:rPr>
    </w:pPr>
    <w:r>
      <w:rPr>
        <w:rFonts w:ascii="Times New Roman" w:hAnsi="Times New Roman"/>
        <w:b/>
        <w:i/>
        <w:sz w:val="20"/>
      </w:rPr>
      <w:t xml:space="preserve">Този документ е създаден за целите на Проект № BGJUSTICE -3.002-0005 "Детска пътека (подготовка и въвеждане на детска услуга "детска пътека" при случаи на деца – свидетели или в риск от насилие)“ по програма „Правосъдие“, финансирана по Малка </w:t>
    </w:r>
    <w:proofErr w:type="spellStart"/>
    <w:r>
      <w:rPr>
        <w:rFonts w:ascii="Times New Roman" w:hAnsi="Times New Roman"/>
        <w:b/>
        <w:i/>
        <w:sz w:val="20"/>
      </w:rPr>
      <w:t>грантова</w:t>
    </w:r>
    <w:proofErr w:type="spellEnd"/>
    <w:r>
      <w:rPr>
        <w:rFonts w:ascii="Times New Roman" w:hAnsi="Times New Roman"/>
        <w:b/>
        <w:i/>
        <w:sz w:val="20"/>
      </w:rPr>
      <w:t xml:space="preserve"> схема O3 на Норвежкия финансов механизъм 2014 – 2021. </w:t>
    </w:r>
  </w:p>
  <w:p w14:paraId="3CA8F25C" w14:textId="77777777" w:rsidR="00FC6FFA" w:rsidRDefault="00000000">
    <w:pPr>
      <w:jc w:val="both"/>
      <w:rPr>
        <w:rFonts w:ascii="Cambria" w:eastAsia="Cambria" w:hAnsi="Cambria" w:cs="Cambria"/>
        <w:sz w:val="16"/>
        <w:szCs w:val="16"/>
      </w:rPr>
    </w:pPr>
    <w:r>
      <w:rPr>
        <w:sz w:val="16"/>
        <w:szCs w:val="16"/>
      </w:rPr>
      <w:fldChar w:fldCharType="begin"/>
    </w:r>
    <w:r>
      <w:rPr>
        <w:sz w:val="16"/>
        <w:szCs w:val="16"/>
      </w:rPr>
      <w:instrText>PAGE</w:instrText>
    </w:r>
    <w:r>
      <w:rPr>
        <w:sz w:val="16"/>
        <w:szCs w:val="16"/>
      </w:rPr>
      <w:fldChar w:fldCharType="separate"/>
    </w:r>
    <w:r w:rsidR="00DF3D29">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37134" w14:textId="77777777" w:rsidR="00EE65AB" w:rsidRDefault="00EE65AB">
      <w:r>
        <w:separator/>
      </w:r>
    </w:p>
  </w:footnote>
  <w:footnote w:type="continuationSeparator" w:id="0">
    <w:p w14:paraId="4ECAB8B9" w14:textId="77777777" w:rsidR="00EE65AB" w:rsidRDefault="00EE65AB">
      <w:r>
        <w:continuationSeparator/>
      </w:r>
    </w:p>
  </w:footnote>
  <w:footnote w:id="1">
    <w:p w14:paraId="2B8DDCD0" w14:textId="77777777" w:rsidR="00FC6FFA" w:rsidRDefault="00000000">
      <w:pPr>
        <w:pBdr>
          <w:top w:val="nil"/>
          <w:left w:val="nil"/>
          <w:bottom w:val="nil"/>
          <w:right w:val="nil"/>
          <w:between w:val="nil"/>
        </w:pBdr>
        <w:rPr>
          <w:rFonts w:eastAsia="HebarU" w:cs="HebarU"/>
          <w:color w:val="000000"/>
          <w:sz w:val="20"/>
        </w:rPr>
      </w:pPr>
      <w:r>
        <w:rPr>
          <w:rStyle w:val="FootnoteReference"/>
        </w:rPr>
        <w:footnoteRef/>
      </w:r>
      <w:r>
        <w:rPr>
          <w:rFonts w:eastAsia="HebarU" w:cs="HebarU"/>
          <w:color w:val="000000"/>
          <w:sz w:val="20"/>
        </w:rPr>
        <w:t xml:space="preserve"> </w:t>
      </w:r>
      <w:r>
        <w:rPr>
          <w:rFonts w:ascii="Times New Roman" w:hAnsi="Times New Roman"/>
          <w:i/>
          <w:color w:val="000000"/>
          <w:sz w:val="20"/>
        </w:rPr>
        <w:t>За целите на настоящия показател под „задача“ се разбира обособена част от дейността,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1C8A" w14:textId="77777777" w:rsidR="00FC6FFA" w:rsidRDefault="00000000">
    <w:pPr>
      <w:pBdr>
        <w:top w:val="nil"/>
        <w:left w:val="nil"/>
        <w:bottom w:val="nil"/>
        <w:right w:val="nil"/>
        <w:between w:val="nil"/>
      </w:pBdr>
      <w:tabs>
        <w:tab w:val="center" w:pos="4536"/>
        <w:tab w:val="right" w:pos="9072"/>
        <w:tab w:val="left" w:pos="9356"/>
        <w:tab w:val="right" w:pos="9638"/>
      </w:tabs>
      <w:rPr>
        <w:rFonts w:eastAsia="HebarU" w:cs="HebarU"/>
        <w:color w:val="000000"/>
        <w:szCs w:val="24"/>
      </w:rPr>
    </w:pPr>
    <w:r>
      <w:rPr>
        <w:noProof/>
      </w:rPr>
      <w:drawing>
        <wp:inline distT="0" distB="0" distL="0" distR="0" wp14:anchorId="512FEFC4" wp14:editId="370E16C2">
          <wp:extent cx="895985" cy="926465"/>
          <wp:effectExtent l="0" t="0" r="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95985" cy="926465"/>
                  </a:xfrm>
                  <a:prstGeom prst="rect">
                    <a:avLst/>
                  </a:prstGeom>
                  <a:ln/>
                </pic:spPr>
              </pic:pic>
            </a:graphicData>
          </a:graphic>
        </wp:inline>
      </w:drawing>
    </w:r>
    <w:r>
      <w:rPr>
        <w:rFonts w:eastAsia="HebarU" w:cs="HebarU"/>
        <w:color w:val="000000"/>
        <w:szCs w:val="24"/>
      </w:rPr>
      <w:tab/>
    </w:r>
    <w:r>
      <w:rPr>
        <w:rFonts w:eastAsia="HebarU" w:cs="HebarU"/>
        <w:color w:val="000000"/>
        <w:szCs w:val="24"/>
      </w:rPr>
      <w:tab/>
    </w:r>
    <w:r>
      <w:rPr>
        <w:rFonts w:eastAsia="HebarU" w:cs="HebarU"/>
        <w:b/>
        <w:noProof/>
        <w:color w:val="000000"/>
        <w:szCs w:val="24"/>
      </w:rPr>
      <w:drawing>
        <wp:inline distT="0" distB="0" distL="0" distR="0" wp14:anchorId="328BE12D" wp14:editId="3B4A46E0">
          <wp:extent cx="752475" cy="962025"/>
          <wp:effectExtent l="0" t="0" r="0" b="0"/>
          <wp:docPr id="26" name="image1.png" descr="ZapazenZnakUP00"/>
          <wp:cNvGraphicFramePr/>
          <a:graphic xmlns:a="http://schemas.openxmlformats.org/drawingml/2006/main">
            <a:graphicData uri="http://schemas.openxmlformats.org/drawingml/2006/picture">
              <pic:pic xmlns:pic="http://schemas.openxmlformats.org/drawingml/2006/picture">
                <pic:nvPicPr>
                  <pic:cNvPr id="0" name="image1.png" descr="ZapazenZnakUP00"/>
                  <pic:cNvPicPr preferRelativeResize="0"/>
                </pic:nvPicPr>
                <pic:blipFill>
                  <a:blip r:embed="rId2"/>
                  <a:srcRect/>
                  <a:stretch>
                    <a:fillRect/>
                  </a:stretch>
                </pic:blipFill>
                <pic:spPr>
                  <a:xfrm>
                    <a:off x="0" y="0"/>
                    <a:ext cx="752475" cy="962025"/>
                  </a:xfrm>
                  <a:prstGeom prst="rect">
                    <a:avLst/>
                  </a:prstGeom>
                  <a:ln/>
                </pic:spPr>
              </pic:pic>
            </a:graphicData>
          </a:graphic>
        </wp:inline>
      </w:drawing>
    </w:r>
    <w:r>
      <w:rPr>
        <w:rFonts w:eastAsia="HebarU" w:cs="HebarU"/>
        <w:color w:val="000000"/>
        <w:szCs w:val="24"/>
      </w:rPr>
      <w:tab/>
    </w:r>
  </w:p>
  <w:p w14:paraId="70A6E5F2" w14:textId="77777777" w:rsidR="00FC6FFA" w:rsidRDefault="00FC6FFA">
    <w:pPr>
      <w:pBdr>
        <w:top w:val="nil"/>
        <w:left w:val="nil"/>
        <w:bottom w:val="nil"/>
        <w:right w:val="nil"/>
        <w:between w:val="nil"/>
      </w:pBdr>
      <w:tabs>
        <w:tab w:val="center" w:pos="4536"/>
        <w:tab w:val="right" w:pos="9072"/>
      </w:tabs>
      <w:rPr>
        <w:rFonts w:eastAsia="HebarU" w:cs="HebarU"/>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4082F"/>
    <w:multiLevelType w:val="multilevel"/>
    <w:tmpl w:val="2486800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75274F"/>
    <w:multiLevelType w:val="multilevel"/>
    <w:tmpl w:val="79D66A1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4EB6254"/>
    <w:multiLevelType w:val="multilevel"/>
    <w:tmpl w:val="E9D8CA6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31955CA"/>
    <w:multiLevelType w:val="multilevel"/>
    <w:tmpl w:val="F24A9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57253661">
    <w:abstractNumId w:val="0"/>
  </w:num>
  <w:num w:numId="2" w16cid:durableId="1746149468">
    <w:abstractNumId w:val="1"/>
  </w:num>
  <w:num w:numId="3" w16cid:durableId="1574311064">
    <w:abstractNumId w:val="2"/>
  </w:num>
  <w:num w:numId="4" w16cid:durableId="326596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FA"/>
    <w:rsid w:val="001D4920"/>
    <w:rsid w:val="00440D58"/>
    <w:rsid w:val="00735BE5"/>
    <w:rsid w:val="00737259"/>
    <w:rsid w:val="00A820F2"/>
    <w:rsid w:val="00DF3D29"/>
    <w:rsid w:val="00EE65AB"/>
    <w:rsid w:val="00FC6F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7B7C"/>
  <w15:docId w15:val="{1B6E4699-ADF4-45F1-8DC6-37558AEE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barU" w:eastAsia="HebarU" w:hAnsi="HebarU" w:cs="HebarU"/>
        <w:sz w:val="24"/>
        <w:szCs w:val="24"/>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D67"/>
    <w:rPr>
      <w:rFonts w:eastAsia="Times New Roman" w:cs="Times New Roman"/>
      <w:szCs w:val="20"/>
    </w:rPr>
  </w:style>
  <w:style w:type="paragraph" w:styleId="Heading1">
    <w:name w:val="heading 1"/>
    <w:basedOn w:val="Normal"/>
    <w:next w:val="Normal"/>
    <w:link w:val="Heading1Char"/>
    <w:uiPriority w:val="9"/>
    <w:qFormat/>
    <w:rsid w:val="00CA746C"/>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CA746C"/>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83AE3"/>
    <w:pPr>
      <w:jc w:val="center"/>
    </w:pPr>
    <w:rPr>
      <w:rFonts w:ascii="Times New Roman" w:hAnsi="Times New Roman"/>
      <w:b/>
      <w:szCs w:val="24"/>
    </w:rPr>
  </w:style>
  <w:style w:type="paragraph" w:styleId="Header">
    <w:name w:val="header"/>
    <w:basedOn w:val="Normal"/>
    <w:link w:val="HeaderChar"/>
    <w:uiPriority w:val="99"/>
    <w:unhideWhenUsed/>
    <w:rsid w:val="00CA746C"/>
    <w:pPr>
      <w:tabs>
        <w:tab w:val="center" w:pos="4536"/>
        <w:tab w:val="right" w:pos="9072"/>
      </w:tabs>
    </w:pPr>
  </w:style>
  <w:style w:type="character" w:customStyle="1" w:styleId="HeaderChar">
    <w:name w:val="Header Char"/>
    <w:basedOn w:val="DefaultParagraphFont"/>
    <w:link w:val="Header"/>
    <w:uiPriority w:val="99"/>
    <w:rsid w:val="00CA746C"/>
  </w:style>
  <w:style w:type="paragraph" w:styleId="Footer">
    <w:name w:val="footer"/>
    <w:basedOn w:val="Normal"/>
    <w:link w:val="FooterChar"/>
    <w:uiPriority w:val="99"/>
    <w:unhideWhenUsed/>
    <w:rsid w:val="00CA746C"/>
    <w:pPr>
      <w:tabs>
        <w:tab w:val="center" w:pos="4536"/>
        <w:tab w:val="right" w:pos="9072"/>
      </w:tabs>
    </w:pPr>
  </w:style>
  <w:style w:type="character" w:customStyle="1" w:styleId="FooterChar">
    <w:name w:val="Footer Char"/>
    <w:basedOn w:val="DefaultParagraphFont"/>
    <w:link w:val="Footer"/>
    <w:uiPriority w:val="99"/>
    <w:rsid w:val="00CA746C"/>
  </w:style>
  <w:style w:type="paragraph" w:styleId="BalloonText">
    <w:name w:val="Balloon Text"/>
    <w:basedOn w:val="Normal"/>
    <w:link w:val="BalloonTextChar"/>
    <w:uiPriority w:val="99"/>
    <w:semiHidden/>
    <w:unhideWhenUsed/>
    <w:rsid w:val="00CA746C"/>
    <w:rPr>
      <w:rFonts w:ascii="Tahoma" w:hAnsi="Tahoma" w:cs="Tahoma"/>
      <w:sz w:val="16"/>
      <w:szCs w:val="16"/>
    </w:rPr>
  </w:style>
  <w:style w:type="character" w:customStyle="1" w:styleId="BalloonTextChar">
    <w:name w:val="Balloon Text Char"/>
    <w:basedOn w:val="DefaultParagraphFont"/>
    <w:link w:val="BalloonText"/>
    <w:uiPriority w:val="99"/>
    <w:semiHidden/>
    <w:rsid w:val="00CA746C"/>
    <w:rPr>
      <w:rFonts w:ascii="Tahoma" w:hAnsi="Tahoma" w:cs="Tahoma"/>
      <w:sz w:val="16"/>
      <w:szCs w:val="16"/>
    </w:rPr>
  </w:style>
  <w:style w:type="character" w:styleId="Hyperlink">
    <w:name w:val="Hyperlink"/>
    <w:rsid w:val="00CA746C"/>
    <w:rPr>
      <w:color w:val="0000FF"/>
      <w:u w:val="single"/>
    </w:rPr>
  </w:style>
  <w:style w:type="paragraph" w:styleId="Caption">
    <w:name w:val="caption"/>
    <w:basedOn w:val="Normal"/>
    <w:next w:val="Normal"/>
    <w:qFormat/>
    <w:rsid w:val="00CA746C"/>
    <w:pPr>
      <w:spacing w:before="20" w:after="20"/>
      <w:jc w:val="center"/>
    </w:pPr>
    <w:rPr>
      <w:rFonts w:ascii="Times New Roman" w:hAnsi="Times New Roman"/>
      <w:b/>
      <w:caps/>
    </w:rPr>
  </w:style>
  <w:style w:type="character" w:customStyle="1" w:styleId="Heading1Char">
    <w:name w:val="Heading 1 Char"/>
    <w:basedOn w:val="DefaultParagraphFont"/>
    <w:link w:val="Heading1"/>
    <w:rsid w:val="00CA746C"/>
    <w:rPr>
      <w:rFonts w:ascii="Arial" w:eastAsia="Times New Roman" w:hAnsi="Arial" w:cs="Arial"/>
      <w:b/>
      <w:bCs/>
      <w:kern w:val="32"/>
      <w:sz w:val="32"/>
      <w:szCs w:val="32"/>
      <w:lang w:eastAsia="bg-BG"/>
    </w:rPr>
  </w:style>
  <w:style w:type="character" w:customStyle="1" w:styleId="Heading3Char">
    <w:name w:val="Heading 3 Char"/>
    <w:basedOn w:val="DefaultParagraphFont"/>
    <w:link w:val="Heading3"/>
    <w:rsid w:val="00CA746C"/>
    <w:rPr>
      <w:rFonts w:ascii="Arial" w:eastAsia="Times New Roman" w:hAnsi="Arial" w:cs="Arial"/>
      <w:b/>
      <w:bCs/>
      <w:sz w:val="26"/>
      <w:szCs w:val="26"/>
      <w:lang w:eastAsia="bg-BG"/>
    </w:rPr>
  </w:style>
  <w:style w:type="paragraph" w:styleId="ListParagraph">
    <w:name w:val="List Paragraph"/>
    <w:aliases w:val="List1,ПАРАГРАФ"/>
    <w:basedOn w:val="Normal"/>
    <w:link w:val="ListParagraphChar"/>
    <w:uiPriority w:val="34"/>
    <w:qFormat/>
    <w:rsid w:val="00CA746C"/>
    <w:pPr>
      <w:ind w:left="720"/>
      <w:contextualSpacing/>
    </w:pPr>
  </w:style>
  <w:style w:type="paragraph" w:styleId="BodyTextIndent">
    <w:name w:val="Body Text Indent"/>
    <w:basedOn w:val="Normal"/>
    <w:link w:val="BodyTextIndentChar"/>
    <w:rsid w:val="00CA746C"/>
    <w:pPr>
      <w:spacing w:after="120"/>
      <w:ind w:left="360"/>
    </w:pPr>
    <w:rPr>
      <w:rFonts w:ascii="Times New Roman" w:hAnsi="Times New Roman"/>
      <w:szCs w:val="24"/>
    </w:rPr>
  </w:style>
  <w:style w:type="character" w:customStyle="1" w:styleId="BodyTextIndentChar">
    <w:name w:val="Body Text Indent Char"/>
    <w:basedOn w:val="DefaultParagraphFont"/>
    <w:link w:val="BodyTextIndent"/>
    <w:rsid w:val="00CA746C"/>
    <w:rPr>
      <w:rFonts w:ascii="Times New Roman" w:eastAsia="Times New Roman" w:hAnsi="Times New Roman" w:cs="Times New Roman"/>
      <w:sz w:val="24"/>
      <w:szCs w:val="24"/>
      <w:lang w:eastAsia="bg-BG"/>
    </w:rPr>
  </w:style>
  <w:style w:type="paragraph" w:styleId="FootnoteText">
    <w:name w:val="footnote text"/>
    <w:basedOn w:val="Normal"/>
    <w:link w:val="FootnoteTextChar"/>
    <w:rsid w:val="00CA746C"/>
    <w:rPr>
      <w:sz w:val="20"/>
    </w:rPr>
  </w:style>
  <w:style w:type="character" w:customStyle="1" w:styleId="FootnoteTextChar">
    <w:name w:val="Footnote Text Char"/>
    <w:basedOn w:val="DefaultParagraphFont"/>
    <w:link w:val="FootnoteText"/>
    <w:rsid w:val="00CA746C"/>
    <w:rPr>
      <w:rFonts w:ascii="HebarU" w:eastAsia="Times New Roman" w:hAnsi="HebarU" w:cs="Times New Roman"/>
      <w:sz w:val="20"/>
      <w:szCs w:val="20"/>
    </w:rPr>
  </w:style>
  <w:style w:type="character" w:styleId="FootnoteReference">
    <w:name w:val="footnote reference"/>
    <w:rsid w:val="00CA746C"/>
    <w:rPr>
      <w:vertAlign w:val="superscript"/>
    </w:rPr>
  </w:style>
  <w:style w:type="paragraph" w:customStyle="1" w:styleId="Style1">
    <w:name w:val="Style1"/>
    <w:basedOn w:val="Normal"/>
    <w:uiPriority w:val="99"/>
    <w:rsid w:val="00143FD5"/>
    <w:pPr>
      <w:widowControl w:val="0"/>
      <w:autoSpaceDE w:val="0"/>
      <w:autoSpaceDN w:val="0"/>
      <w:adjustRightInd w:val="0"/>
    </w:pPr>
    <w:rPr>
      <w:rFonts w:ascii="Corbel" w:hAnsi="Corbel" w:cs="Corbel"/>
      <w:szCs w:val="24"/>
    </w:rPr>
  </w:style>
  <w:style w:type="character" w:customStyle="1" w:styleId="FontStyle11">
    <w:name w:val="Font Style11"/>
    <w:basedOn w:val="DefaultParagraphFont"/>
    <w:uiPriority w:val="99"/>
    <w:rsid w:val="00143FD5"/>
    <w:rPr>
      <w:rFonts w:ascii="Corbel" w:hAnsi="Corbel" w:cs="Corbel"/>
      <w:b/>
      <w:bCs/>
      <w:sz w:val="18"/>
      <w:szCs w:val="18"/>
    </w:rPr>
  </w:style>
  <w:style w:type="character" w:styleId="Strong">
    <w:name w:val="Strong"/>
    <w:basedOn w:val="DefaultParagraphFont"/>
    <w:uiPriority w:val="22"/>
    <w:qFormat/>
    <w:rsid w:val="00143FD5"/>
    <w:rPr>
      <w:rFonts w:cs="Times New Roman"/>
      <w:b/>
      <w:bCs/>
    </w:rPr>
  </w:style>
  <w:style w:type="paragraph" w:styleId="BodyText">
    <w:name w:val="Body Text"/>
    <w:basedOn w:val="Normal"/>
    <w:link w:val="BodyTextChar"/>
    <w:uiPriority w:val="99"/>
    <w:unhideWhenUsed/>
    <w:rsid w:val="00783AE3"/>
    <w:pPr>
      <w:spacing w:after="120"/>
    </w:pPr>
  </w:style>
  <w:style w:type="character" w:customStyle="1" w:styleId="BodyTextChar">
    <w:name w:val="Body Text Char"/>
    <w:basedOn w:val="DefaultParagraphFont"/>
    <w:link w:val="BodyText"/>
    <w:uiPriority w:val="99"/>
    <w:rsid w:val="00783AE3"/>
    <w:rPr>
      <w:rFonts w:ascii="HebarU" w:eastAsia="Times New Roman" w:hAnsi="HebarU" w:cs="Times New Roman"/>
      <w:sz w:val="24"/>
      <w:szCs w:val="20"/>
    </w:rPr>
  </w:style>
  <w:style w:type="character" w:customStyle="1" w:styleId="titleemph1">
    <w:name w:val="title_emph1"/>
    <w:rsid w:val="00783AE3"/>
    <w:rPr>
      <w:rFonts w:ascii="Arial" w:hAnsi="Arial" w:cs="Arial" w:hint="default"/>
      <w:b/>
      <w:bCs/>
      <w:sz w:val="18"/>
      <w:szCs w:val="18"/>
    </w:rPr>
  </w:style>
  <w:style w:type="character" w:customStyle="1" w:styleId="TitleChar">
    <w:name w:val="Title Char"/>
    <w:basedOn w:val="DefaultParagraphFont"/>
    <w:link w:val="Title"/>
    <w:rsid w:val="00783AE3"/>
    <w:rPr>
      <w:rFonts w:ascii="Times New Roman" w:eastAsia="Times New Roman" w:hAnsi="Times New Roman" w:cs="Times New Roman"/>
      <w:b/>
      <w:sz w:val="24"/>
      <w:szCs w:val="24"/>
    </w:rPr>
  </w:style>
  <w:style w:type="paragraph" w:customStyle="1" w:styleId="Default">
    <w:name w:val="Default"/>
    <w:rsid w:val="00783AE3"/>
    <w:pPr>
      <w:autoSpaceDE w:val="0"/>
      <w:autoSpaceDN w:val="0"/>
      <w:adjustRightInd w:val="0"/>
    </w:pPr>
    <w:rPr>
      <w:rFonts w:ascii="Times New Roman" w:eastAsia="Times New Roman" w:hAnsi="Times New Roman" w:cs="Times New Roman"/>
      <w:color w:val="000000"/>
    </w:rPr>
  </w:style>
  <w:style w:type="paragraph" w:styleId="HTMLPreformatted">
    <w:name w:val="HTML Preformatted"/>
    <w:basedOn w:val="Normal"/>
    <w:link w:val="HTMLPreformattedChar"/>
    <w:uiPriority w:val="99"/>
    <w:unhideWhenUsed/>
    <w:rsid w:val="0078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783AE3"/>
    <w:rPr>
      <w:rFonts w:ascii="Courier New" w:eastAsia="Times New Roman" w:hAnsi="Courier New" w:cs="Courier New"/>
      <w:sz w:val="20"/>
      <w:szCs w:val="20"/>
      <w:lang w:eastAsia="bg-BG"/>
    </w:rPr>
  </w:style>
  <w:style w:type="character" w:customStyle="1" w:styleId="filled-value">
    <w:name w:val="filled-value"/>
    <w:basedOn w:val="DefaultParagraphFont"/>
    <w:rsid w:val="00783AE3"/>
  </w:style>
  <w:style w:type="table" w:styleId="TableGrid">
    <w:name w:val="Table Grid"/>
    <w:basedOn w:val="TableNormal"/>
    <w:uiPriority w:val="59"/>
    <w:rsid w:val="005645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E97969"/>
    <w:rPr>
      <w:rFonts w:eastAsiaTheme="minorEastAsia"/>
      <w:lang w:val="en-US"/>
    </w:rPr>
  </w:style>
  <w:style w:type="character" w:customStyle="1" w:styleId="NoSpacingChar">
    <w:name w:val="No Spacing Char"/>
    <w:basedOn w:val="DefaultParagraphFont"/>
    <w:link w:val="NoSpacing"/>
    <w:uiPriority w:val="1"/>
    <w:rsid w:val="00E97969"/>
    <w:rPr>
      <w:rFonts w:eastAsiaTheme="minorEastAsia"/>
      <w:lang w:val="en-US"/>
    </w:rPr>
  </w:style>
  <w:style w:type="character" w:styleId="CommentReference">
    <w:name w:val="annotation reference"/>
    <w:basedOn w:val="DefaultParagraphFont"/>
    <w:uiPriority w:val="99"/>
    <w:semiHidden/>
    <w:unhideWhenUsed/>
    <w:rsid w:val="0081045B"/>
    <w:rPr>
      <w:sz w:val="16"/>
      <w:szCs w:val="16"/>
    </w:rPr>
  </w:style>
  <w:style w:type="paragraph" w:styleId="CommentText">
    <w:name w:val="annotation text"/>
    <w:basedOn w:val="Normal"/>
    <w:link w:val="CommentTextChar"/>
    <w:uiPriority w:val="99"/>
    <w:semiHidden/>
    <w:unhideWhenUsed/>
    <w:rsid w:val="0081045B"/>
    <w:rPr>
      <w:sz w:val="20"/>
    </w:rPr>
  </w:style>
  <w:style w:type="character" w:customStyle="1" w:styleId="CommentTextChar">
    <w:name w:val="Comment Text Char"/>
    <w:basedOn w:val="DefaultParagraphFont"/>
    <w:link w:val="CommentText"/>
    <w:uiPriority w:val="99"/>
    <w:semiHidden/>
    <w:rsid w:val="0081045B"/>
    <w:rPr>
      <w:rFonts w:ascii="HebarU" w:eastAsia="Times New Roman" w:hAnsi="HebarU" w:cs="Times New Roman"/>
      <w:sz w:val="20"/>
      <w:szCs w:val="20"/>
    </w:rPr>
  </w:style>
  <w:style w:type="paragraph" w:styleId="CommentSubject">
    <w:name w:val="annotation subject"/>
    <w:basedOn w:val="CommentText"/>
    <w:next w:val="CommentText"/>
    <w:link w:val="CommentSubjectChar"/>
    <w:uiPriority w:val="99"/>
    <w:semiHidden/>
    <w:unhideWhenUsed/>
    <w:rsid w:val="0081045B"/>
    <w:rPr>
      <w:b/>
      <w:bCs/>
    </w:rPr>
  </w:style>
  <w:style w:type="character" w:customStyle="1" w:styleId="CommentSubjectChar">
    <w:name w:val="Comment Subject Char"/>
    <w:basedOn w:val="CommentTextChar"/>
    <w:link w:val="CommentSubject"/>
    <w:uiPriority w:val="99"/>
    <w:semiHidden/>
    <w:rsid w:val="0081045B"/>
    <w:rPr>
      <w:rFonts w:ascii="HebarU" w:eastAsia="Times New Roman" w:hAnsi="HebarU" w:cs="Times New Roman"/>
      <w:b/>
      <w:bCs/>
      <w:sz w:val="20"/>
      <w:szCs w:val="20"/>
    </w:rPr>
  </w:style>
  <w:style w:type="paragraph" w:styleId="Revision">
    <w:name w:val="Revision"/>
    <w:hidden/>
    <w:uiPriority w:val="99"/>
    <w:semiHidden/>
    <w:rsid w:val="001B7077"/>
    <w:rPr>
      <w:rFonts w:eastAsia="Times New Roman" w:cs="Times New Roman"/>
      <w:szCs w:val="20"/>
    </w:rPr>
  </w:style>
  <w:style w:type="table" w:customStyle="1" w:styleId="TableGrid1">
    <w:name w:val="Table Grid1"/>
    <w:basedOn w:val="TableNormal"/>
    <w:next w:val="TableGrid"/>
    <w:uiPriority w:val="99"/>
    <w:rsid w:val="005F7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1 Char,ПАРАГРАФ Char"/>
    <w:link w:val="ListParagraph"/>
    <w:uiPriority w:val="34"/>
    <w:locked/>
    <w:rsid w:val="00515731"/>
    <w:rPr>
      <w:rFonts w:ascii="HebarU" w:eastAsia="Times New Roman" w:hAnsi="HebarU" w:cs="Times New Roman"/>
      <w:sz w:val="24"/>
      <w:szCs w:val="20"/>
    </w:rPr>
  </w:style>
  <w:style w:type="character" w:customStyle="1" w:styleId="a">
    <w:name w:val="Основной текст_"/>
    <w:link w:val="1"/>
    <w:uiPriority w:val="99"/>
    <w:rsid w:val="00190FCB"/>
    <w:rPr>
      <w:rFonts w:ascii="Times New Roman" w:hAnsi="Times New Roman"/>
      <w:b/>
      <w:bCs/>
      <w:shd w:val="clear" w:color="auto" w:fill="FFFFFF"/>
    </w:rPr>
  </w:style>
  <w:style w:type="character" w:customStyle="1" w:styleId="2">
    <w:name w:val="Основной текст (2)_"/>
    <w:link w:val="21"/>
    <w:uiPriority w:val="99"/>
    <w:rsid w:val="00190FCB"/>
    <w:rPr>
      <w:rFonts w:ascii="Times New Roman" w:hAnsi="Times New Roman"/>
      <w:b/>
      <w:bCs/>
      <w:i/>
      <w:iCs/>
      <w:shd w:val="clear" w:color="auto" w:fill="FFFFFF"/>
    </w:rPr>
  </w:style>
  <w:style w:type="paragraph" w:customStyle="1" w:styleId="1">
    <w:name w:val="Основной текст1"/>
    <w:basedOn w:val="Normal"/>
    <w:link w:val="a"/>
    <w:uiPriority w:val="99"/>
    <w:rsid w:val="00190FCB"/>
    <w:pPr>
      <w:widowControl w:val="0"/>
      <w:shd w:val="clear" w:color="auto" w:fill="FFFFFF"/>
      <w:spacing w:line="418" w:lineRule="exact"/>
      <w:jc w:val="center"/>
    </w:pPr>
    <w:rPr>
      <w:rFonts w:ascii="Times New Roman" w:eastAsiaTheme="minorHAnsi" w:hAnsi="Times New Roman" w:cstheme="minorBidi"/>
      <w:b/>
      <w:bCs/>
      <w:sz w:val="22"/>
      <w:szCs w:val="22"/>
    </w:rPr>
  </w:style>
  <w:style w:type="paragraph" w:customStyle="1" w:styleId="21">
    <w:name w:val="Основной текст (2)1"/>
    <w:basedOn w:val="Normal"/>
    <w:link w:val="2"/>
    <w:uiPriority w:val="99"/>
    <w:rsid w:val="00190FCB"/>
    <w:pPr>
      <w:widowControl w:val="0"/>
      <w:shd w:val="clear" w:color="auto" w:fill="FFFFFF"/>
      <w:spacing w:line="413" w:lineRule="exact"/>
      <w:ind w:hanging="360"/>
    </w:pPr>
    <w:rPr>
      <w:rFonts w:ascii="Times New Roman" w:eastAsiaTheme="minorHAnsi" w:hAnsi="Times New Roman" w:cstheme="minorBidi"/>
      <w:b/>
      <w:bCs/>
      <w:i/>
      <w:i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XiusTCsu663ow8erXXMJ54RqRw==">CgMxLjAyCGguZ2pkZ3hzMgloLjMwajB6bGwyCWguMWZvYjl0ZTIJaC4zem55c2g3OAByITFRSVdZQ1VHeE8wUEg5NmV2NHVCQ01BRG03azNLckppQw==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2023-03-01T11:52:00Z</dcterms:created>
  <dcterms:modified xsi:type="dcterms:W3CDTF">2023-06-16T08:32:00Z</dcterms:modified>
</cp:coreProperties>
</file>